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E8" w:rsidRDefault="008E1238">
      <w:pPr>
        <w:pStyle w:val="Heading1a"/>
        <w:keepNext w:val="0"/>
        <w:keepLines w:val="0"/>
        <w:tabs>
          <w:tab w:val="clear" w:pos="-720"/>
        </w:tabs>
        <w:suppressAutoHyphens w:val="0"/>
        <w:rPr>
          <w:bCs/>
          <w:smallCaps w:val="0"/>
          <w:lang w:val="fr-FR"/>
        </w:rPr>
      </w:pPr>
      <w:r>
        <w:rPr>
          <w:bCs/>
          <w:smallCaps w:val="0"/>
          <w:lang w:val="fr-FR"/>
        </w:rPr>
        <w:t xml:space="preserve">Avis d’Appel d’offres </w:t>
      </w:r>
    </w:p>
    <w:p w:rsidR="00C67FE8" w:rsidRDefault="008E1238">
      <w:pPr>
        <w:pStyle w:val="Heading1a"/>
        <w:keepNext w:val="0"/>
        <w:keepLines w:val="0"/>
        <w:tabs>
          <w:tab w:val="clear" w:pos="-720"/>
        </w:tabs>
        <w:suppressAutoHyphens w:val="0"/>
        <w:rPr>
          <w:bCs/>
          <w:smallCaps w:val="0"/>
          <w:sz w:val="44"/>
          <w:szCs w:val="44"/>
          <w:lang w:val="fr-FR"/>
        </w:rPr>
      </w:pPr>
      <w:r>
        <w:rPr>
          <w:bCs/>
          <w:smallCaps w:val="0"/>
          <w:sz w:val="44"/>
          <w:szCs w:val="44"/>
          <w:lang w:val="fr-FR"/>
        </w:rPr>
        <w:t>Appel d’offres National</w:t>
      </w:r>
    </w:p>
    <w:p w:rsidR="00C67FE8" w:rsidRDefault="008E1238">
      <w:pPr>
        <w:pStyle w:val="Heading1a"/>
        <w:keepNext w:val="0"/>
        <w:keepLines w:val="0"/>
        <w:tabs>
          <w:tab w:val="clear" w:pos="-720"/>
        </w:tabs>
        <w:suppressAutoHyphens w:val="0"/>
        <w:spacing w:before="120"/>
        <w:rPr>
          <w:bCs/>
          <w:smallCaps w:val="0"/>
          <w:sz w:val="28"/>
          <w:szCs w:val="28"/>
          <w:lang w:val="fr-FR"/>
        </w:rPr>
      </w:pPr>
      <w:r>
        <w:rPr>
          <w:bCs/>
          <w:smallCaps w:val="0"/>
          <w:sz w:val="28"/>
          <w:szCs w:val="28"/>
          <w:lang w:val="fr-FR"/>
        </w:rPr>
        <w:t>(Procédure à enveloppe unique)</w:t>
      </w:r>
    </w:p>
    <w:p w:rsidR="00C67FE8" w:rsidRDefault="00C67FE8">
      <w:pPr>
        <w:suppressAutoHyphens/>
        <w:spacing w:before="120" w:after="120"/>
        <w:rPr>
          <w:b/>
          <w:bCs/>
          <w:szCs w:val="24"/>
        </w:rPr>
      </w:pPr>
    </w:p>
    <w:p w:rsidR="00C67FE8" w:rsidRDefault="008E1238">
      <w:pPr>
        <w:spacing w:before="60" w:after="60"/>
        <w:rPr>
          <w:b/>
          <w:bCs/>
          <w:i/>
          <w:iCs/>
        </w:rPr>
      </w:pPr>
      <w:r>
        <w:rPr>
          <w:i/>
          <w:iCs/>
        </w:rPr>
        <w:t xml:space="preserve">Pays : </w:t>
      </w:r>
      <w:r>
        <w:rPr>
          <w:i/>
          <w:iCs/>
        </w:rPr>
        <w:tab/>
      </w:r>
      <w:r>
        <w:rPr>
          <w:i/>
          <w:iCs/>
        </w:rPr>
        <w:tab/>
      </w:r>
      <w:r>
        <w:rPr>
          <w:i/>
          <w:iCs/>
        </w:rPr>
        <w:tab/>
      </w:r>
      <w:r>
        <w:rPr>
          <w:i/>
          <w:iCs/>
        </w:rPr>
        <w:tab/>
      </w:r>
      <w:r>
        <w:rPr>
          <w:b/>
          <w:bCs/>
          <w:i/>
          <w:iCs/>
        </w:rPr>
        <w:t>Mauritanie</w:t>
      </w:r>
    </w:p>
    <w:p w:rsidR="00C67FE8" w:rsidRDefault="008E1238">
      <w:pPr>
        <w:spacing w:before="60" w:after="60"/>
        <w:rPr>
          <w:bCs/>
          <w:i/>
          <w:iCs/>
        </w:rPr>
      </w:pPr>
      <w:r>
        <w:rPr>
          <w:bCs/>
          <w:i/>
          <w:iCs/>
        </w:rPr>
        <w:t xml:space="preserve">Nom du Projet : </w:t>
      </w:r>
      <w:r>
        <w:rPr>
          <w:bCs/>
          <w:i/>
          <w:iCs/>
        </w:rPr>
        <w:tab/>
      </w:r>
      <w:r>
        <w:rPr>
          <w:bCs/>
          <w:i/>
          <w:iCs/>
        </w:rPr>
        <w:tab/>
      </w:r>
      <w:r>
        <w:rPr>
          <w:b/>
          <w:iCs/>
          <w:sz w:val="28"/>
        </w:rPr>
        <w:t>Projet d’Appui au Système de Santé INAYA</w:t>
      </w:r>
    </w:p>
    <w:p w:rsidR="00C67FE8" w:rsidRDefault="008E1238">
      <w:pPr>
        <w:spacing w:before="60" w:after="60" w:line="360" w:lineRule="auto"/>
        <w:rPr>
          <w:bCs/>
          <w:i/>
          <w:iCs/>
        </w:rPr>
      </w:pPr>
      <w:r>
        <w:rPr>
          <w:bCs/>
          <w:i/>
          <w:iCs/>
        </w:rPr>
        <w:t xml:space="preserve">Numéro du Don : </w:t>
      </w:r>
      <w:r>
        <w:rPr>
          <w:bCs/>
          <w:i/>
          <w:iCs/>
        </w:rPr>
        <w:tab/>
      </w:r>
      <w:r>
        <w:rPr>
          <w:bCs/>
          <w:i/>
          <w:iCs/>
        </w:rPr>
        <w:tab/>
      </w:r>
      <w:r>
        <w:rPr>
          <w:b/>
          <w:iCs/>
          <w:sz w:val="28"/>
        </w:rPr>
        <w:t>P156165</w:t>
      </w:r>
    </w:p>
    <w:p w:rsidR="00C67FE8" w:rsidRDefault="008E1238">
      <w:pPr>
        <w:rPr>
          <w:rFonts w:ascii="Cambria" w:hAnsi="Cambria"/>
          <w:b/>
          <w:bCs/>
          <w:szCs w:val="24"/>
        </w:rPr>
      </w:pPr>
      <w:r>
        <w:rPr>
          <w:bCs/>
          <w:i/>
          <w:iCs/>
        </w:rPr>
        <w:t xml:space="preserve">Intitulé du Marché : </w:t>
      </w:r>
      <w:r>
        <w:rPr>
          <w:bCs/>
          <w:i/>
          <w:iCs/>
        </w:rPr>
        <w:tab/>
      </w:r>
      <w:r>
        <w:rPr>
          <w:bCs/>
          <w:i/>
          <w:iCs/>
        </w:rPr>
        <w:tab/>
      </w:r>
      <w:bookmarkStart w:id="0" w:name="_Hlk110428074"/>
      <w:r>
        <w:rPr>
          <w:rFonts w:ascii="Cambria" w:hAnsi="Cambria"/>
          <w:b/>
          <w:bCs/>
          <w:kern w:val="24"/>
          <w:szCs w:val="24"/>
        </w:rPr>
        <w:t>C</w:t>
      </w:r>
      <w:r>
        <w:rPr>
          <w:rFonts w:ascii="Cambria" w:hAnsi="Cambria"/>
          <w:b/>
          <w:bCs/>
          <w:szCs w:val="24"/>
        </w:rPr>
        <w:t xml:space="preserve">onception, fourniture et le paramétrage </w:t>
      </w:r>
    </w:p>
    <w:p w:rsidR="00C67FE8" w:rsidRDefault="008E1238">
      <w:pPr>
        <w:jc w:val="center"/>
        <w:rPr>
          <w:rFonts w:ascii="Cambria" w:hAnsi="Cambria"/>
          <w:b/>
          <w:bCs/>
          <w:szCs w:val="24"/>
        </w:rPr>
      </w:pPr>
      <w:r>
        <w:rPr>
          <w:rFonts w:ascii="Cambria" w:hAnsi="Cambria"/>
          <w:b/>
          <w:bCs/>
          <w:szCs w:val="24"/>
        </w:rPr>
        <w:t xml:space="preserve">                          </w:t>
      </w:r>
      <w:r>
        <w:rPr>
          <w:rFonts w:ascii="Cambria" w:hAnsi="Cambria"/>
          <w:b/>
          <w:bCs/>
          <w:szCs w:val="24"/>
        </w:rPr>
        <w:tab/>
        <w:t xml:space="preserve">    </w:t>
      </w:r>
      <w:proofErr w:type="gramStart"/>
      <w:r>
        <w:rPr>
          <w:rFonts w:ascii="Cambria" w:hAnsi="Cambria"/>
          <w:b/>
          <w:bCs/>
          <w:szCs w:val="24"/>
        </w:rPr>
        <w:t>d’une</w:t>
      </w:r>
      <w:proofErr w:type="gramEnd"/>
      <w:r>
        <w:rPr>
          <w:rFonts w:ascii="Cambria" w:hAnsi="Cambria"/>
          <w:b/>
          <w:bCs/>
          <w:szCs w:val="24"/>
        </w:rPr>
        <w:t xml:space="preserve"> plateforme de gestion des données PBF</w:t>
      </w:r>
      <w:bookmarkEnd w:id="0"/>
      <w:r>
        <w:rPr>
          <w:rFonts w:ascii="Cambria" w:hAnsi="Cambria"/>
          <w:b/>
          <w:bCs/>
          <w:szCs w:val="24"/>
        </w:rPr>
        <w:t>.</w:t>
      </w:r>
    </w:p>
    <w:p w:rsidR="00C67FE8" w:rsidRDefault="00C67FE8">
      <w:pPr>
        <w:rPr>
          <w:sz w:val="36"/>
          <w:szCs w:val="36"/>
        </w:rPr>
      </w:pPr>
    </w:p>
    <w:p w:rsidR="00C67FE8" w:rsidRDefault="00C67FE8">
      <w:pPr>
        <w:ind w:left="2835" w:hanging="2835"/>
        <w:rPr>
          <w:bCs/>
          <w:i/>
          <w:iCs/>
        </w:rPr>
      </w:pPr>
    </w:p>
    <w:p w:rsidR="00C67FE8" w:rsidRDefault="008E1238">
      <w:pPr>
        <w:spacing w:before="60" w:after="60"/>
        <w:rPr>
          <w:bCs/>
          <w:i/>
          <w:iCs/>
        </w:rPr>
      </w:pPr>
      <w:bookmarkStart w:id="1" w:name="_GoBack"/>
      <w:r>
        <w:rPr>
          <w:bCs/>
          <w:i/>
          <w:iCs/>
        </w:rPr>
        <w:t xml:space="preserve">Référence DAO No : </w:t>
      </w:r>
      <w:r>
        <w:rPr>
          <w:bCs/>
          <w:i/>
          <w:iCs/>
        </w:rPr>
        <w:tab/>
      </w:r>
      <w:r>
        <w:rPr>
          <w:bCs/>
          <w:i/>
          <w:iCs/>
        </w:rPr>
        <w:tab/>
      </w:r>
      <w:r>
        <w:rPr>
          <w:b/>
          <w:bCs/>
          <w:i/>
          <w:sz w:val="28"/>
          <w:szCs w:val="24"/>
        </w:rPr>
        <w:t>01/F/INAYA/2022</w:t>
      </w:r>
    </w:p>
    <w:p w:rsidR="00C67FE8" w:rsidRDefault="00C67FE8">
      <w:pPr>
        <w:suppressAutoHyphens/>
        <w:rPr>
          <w:i/>
          <w:iCs/>
          <w:szCs w:val="24"/>
        </w:rPr>
      </w:pPr>
    </w:p>
    <w:p w:rsidR="00C67FE8" w:rsidRDefault="008E1238">
      <w:pPr>
        <w:numPr>
          <w:ilvl w:val="0"/>
          <w:numId w:val="1"/>
        </w:numPr>
        <w:suppressAutoHyphens/>
        <w:spacing w:before="240" w:after="120"/>
        <w:ind w:left="567" w:hanging="567"/>
        <w:jc w:val="both"/>
        <w:rPr>
          <w:szCs w:val="24"/>
        </w:rPr>
      </w:pPr>
      <w:r>
        <w:rPr>
          <w:szCs w:val="24"/>
        </w:rPr>
        <w:t xml:space="preserve">Le Ministère de la Santé de la République Islamique de Mauritanie </w:t>
      </w:r>
      <w:r>
        <w:rPr>
          <w:i/>
          <w:szCs w:val="24"/>
        </w:rPr>
        <w:t xml:space="preserve">a reçu </w:t>
      </w:r>
      <w:r>
        <w:rPr>
          <w:szCs w:val="24"/>
        </w:rPr>
        <w:t xml:space="preserve">un financement de la Banque Mondiale pour financer </w:t>
      </w:r>
      <w:r>
        <w:rPr>
          <w:color w:val="000000" w:themeColor="text1"/>
        </w:rPr>
        <w:t xml:space="preserve">le </w:t>
      </w:r>
      <w:r>
        <w:rPr>
          <w:bCs/>
          <w:iCs/>
          <w:szCs w:val="24"/>
        </w:rPr>
        <w:t xml:space="preserve">Projet </w:t>
      </w:r>
      <w:r>
        <w:rPr>
          <w:bCs/>
          <w:iCs/>
          <w:szCs w:val="24"/>
        </w:rPr>
        <w:t>d’Appui au Système de Santé (INAYA)</w:t>
      </w:r>
      <w:r>
        <w:rPr>
          <w:i/>
          <w:szCs w:val="24"/>
        </w:rPr>
        <w:t>], et à l’intention d’utiliser une partie de ce don pour effectuer des paiements au titre du Marché pour la « </w:t>
      </w:r>
      <w:r>
        <w:rPr>
          <w:rFonts w:ascii="Cambria" w:hAnsi="Cambria"/>
          <w:bCs/>
          <w:kern w:val="24"/>
          <w:szCs w:val="24"/>
        </w:rPr>
        <w:t>C</w:t>
      </w:r>
      <w:r>
        <w:rPr>
          <w:rFonts w:ascii="Cambria" w:hAnsi="Cambria"/>
          <w:bCs/>
          <w:szCs w:val="24"/>
        </w:rPr>
        <w:t>onception, fourniture et le paramétrage d’une plateforme de gestion des données PBF ».</w:t>
      </w:r>
    </w:p>
    <w:p w:rsidR="00C67FE8" w:rsidRDefault="008E1238">
      <w:pPr>
        <w:pStyle w:val="Paragraphedeliste"/>
        <w:numPr>
          <w:ilvl w:val="0"/>
          <w:numId w:val="1"/>
        </w:numPr>
        <w:rPr>
          <w:rFonts w:ascii="Cambria" w:hAnsi="Cambria"/>
          <w:b/>
          <w:bCs/>
          <w:szCs w:val="24"/>
        </w:rPr>
      </w:pPr>
      <w:r>
        <w:rPr>
          <w:szCs w:val="24"/>
        </w:rPr>
        <w:t>Le Ministère de la Sant</w:t>
      </w:r>
      <w:r>
        <w:rPr>
          <w:szCs w:val="24"/>
        </w:rPr>
        <w:t xml:space="preserve">é/Projet INAYA sollicite des offres fermées de la part de soumissionnaires éligibles et répondant aux qualifications requises pour la </w:t>
      </w:r>
      <w:r>
        <w:rPr>
          <w:rFonts w:ascii="Cambria" w:hAnsi="Cambria"/>
          <w:b/>
          <w:bCs/>
          <w:kern w:val="24"/>
          <w:szCs w:val="24"/>
        </w:rPr>
        <w:t>C</w:t>
      </w:r>
      <w:r>
        <w:rPr>
          <w:rFonts w:ascii="Cambria" w:hAnsi="Cambria"/>
          <w:b/>
          <w:bCs/>
          <w:szCs w:val="24"/>
        </w:rPr>
        <w:t>onception, fourniture et le paramétrage d’une plateforme de gestion des données PBF.</w:t>
      </w:r>
    </w:p>
    <w:p w:rsidR="00C67FE8" w:rsidRDefault="008E1238">
      <w:pPr>
        <w:numPr>
          <w:ilvl w:val="0"/>
          <w:numId w:val="1"/>
        </w:numPr>
        <w:suppressAutoHyphens/>
        <w:spacing w:before="240" w:after="120"/>
        <w:ind w:left="567" w:hanging="567"/>
        <w:jc w:val="both"/>
        <w:rPr>
          <w:szCs w:val="24"/>
        </w:rPr>
      </w:pPr>
      <w:r>
        <w:rPr>
          <w:b/>
          <w:bCs/>
          <w:i/>
          <w:iCs/>
          <w:szCs w:val="24"/>
          <w:lang w:eastAsia="en-US"/>
        </w:rPr>
        <w:t xml:space="preserve">Le délai de livraison est de 6 mois </w:t>
      </w:r>
      <w:r>
        <w:rPr>
          <w:b/>
          <w:bCs/>
          <w:i/>
          <w:iCs/>
          <w:szCs w:val="24"/>
          <w:lang w:eastAsia="en-US"/>
        </w:rPr>
        <w:t xml:space="preserve">au maximum. </w:t>
      </w:r>
    </w:p>
    <w:p w:rsidR="00C67FE8" w:rsidRDefault="008E1238">
      <w:pPr>
        <w:numPr>
          <w:ilvl w:val="0"/>
          <w:numId w:val="1"/>
        </w:numPr>
        <w:suppressAutoHyphens/>
        <w:spacing w:before="240" w:after="120"/>
        <w:ind w:left="567" w:hanging="567"/>
        <w:jc w:val="both"/>
        <w:rPr>
          <w:szCs w:val="24"/>
        </w:rPr>
      </w:pPr>
      <w:r>
        <w:rPr>
          <w:szCs w:val="24"/>
        </w:rPr>
        <w:t>La procédure sera conduite par mise en concurrence nationale en recourant à un Appel d’Offres National (AON) telle que définie dans le « </w:t>
      </w:r>
      <w:r>
        <w:rPr>
          <w:iCs/>
          <w:szCs w:val="24"/>
        </w:rPr>
        <w:t>Règlement applicable aux Emprunteurs – Passation des Marchés dans le cadre de Financement de Projets d’Inv</w:t>
      </w:r>
      <w:r>
        <w:rPr>
          <w:iCs/>
          <w:szCs w:val="24"/>
        </w:rPr>
        <w:t>estissement</w:t>
      </w:r>
      <w:r>
        <w:rPr>
          <w:i/>
          <w:iCs/>
          <w:szCs w:val="24"/>
        </w:rPr>
        <w:t xml:space="preserve"> </w:t>
      </w:r>
      <w:r>
        <w:rPr>
          <w:iCs/>
          <w:szCs w:val="24"/>
        </w:rPr>
        <w:t xml:space="preserve">de la Banque Mondiale </w:t>
      </w:r>
      <w:r>
        <w:rPr>
          <w:szCs w:val="24"/>
        </w:rPr>
        <w:t>daté du 1er Juillet 2016</w:t>
      </w:r>
      <w:r>
        <w:rPr>
          <w:iCs/>
          <w:szCs w:val="24"/>
        </w:rPr>
        <w:t xml:space="preserve"> (« le Règlement de passation des marchés »),</w:t>
      </w:r>
      <w:r>
        <w:rPr>
          <w:szCs w:val="24"/>
        </w:rPr>
        <w:t xml:space="preserve"> et ouverte à tous les soumissionnaires de pays éligibles tels que </w:t>
      </w:r>
      <w:proofErr w:type="spellStart"/>
      <w:r>
        <w:rPr>
          <w:szCs w:val="24"/>
        </w:rPr>
        <w:t>definis</w:t>
      </w:r>
      <w:proofErr w:type="spellEnd"/>
      <w:r>
        <w:rPr>
          <w:szCs w:val="24"/>
        </w:rPr>
        <w:t xml:space="preserve"> dans les Règles </w:t>
      </w:r>
      <w:r>
        <w:rPr>
          <w:iCs/>
          <w:szCs w:val="24"/>
        </w:rPr>
        <w:t>de passation des marchés</w:t>
      </w:r>
      <w:r>
        <w:rPr>
          <w:szCs w:val="24"/>
        </w:rPr>
        <w:t xml:space="preserve">. </w:t>
      </w:r>
    </w:p>
    <w:p w:rsidR="00C67FE8" w:rsidRDefault="008E1238">
      <w:pPr>
        <w:numPr>
          <w:ilvl w:val="0"/>
          <w:numId w:val="1"/>
        </w:numPr>
        <w:suppressAutoHyphens/>
        <w:spacing w:before="240" w:after="120"/>
        <w:ind w:left="567" w:hanging="567"/>
        <w:jc w:val="both"/>
        <w:rPr>
          <w:szCs w:val="24"/>
        </w:rPr>
      </w:pPr>
      <w:r>
        <w:rPr>
          <w:szCs w:val="24"/>
        </w:rPr>
        <w:t xml:space="preserve">Les Soumissionnaires intéressés et </w:t>
      </w:r>
      <w:r>
        <w:rPr>
          <w:szCs w:val="24"/>
        </w:rPr>
        <w:t xml:space="preserve">éligibles peuvent obtenir des informations auprès de la Direction des Affaires Financières/ Ministère de la Santé et prendre connaissance des documents d’Appel d’offres à l’adresse mentionnée ci-dessous </w:t>
      </w:r>
      <w:r>
        <w:rPr>
          <w:rFonts w:cs="Helv"/>
        </w:rPr>
        <w:t xml:space="preserve">: </w:t>
      </w:r>
      <w:r>
        <w:rPr>
          <w:b/>
          <w:szCs w:val="24"/>
        </w:rPr>
        <w:t xml:space="preserve">Avenue </w:t>
      </w:r>
      <w:proofErr w:type="spellStart"/>
      <w:r>
        <w:rPr>
          <w:b/>
          <w:szCs w:val="24"/>
        </w:rPr>
        <w:t>Gemal</w:t>
      </w:r>
      <w:proofErr w:type="spellEnd"/>
      <w:r>
        <w:rPr>
          <w:b/>
          <w:szCs w:val="24"/>
        </w:rPr>
        <w:t xml:space="preserve"> Abdel Nasser (ex dispensaire </w:t>
      </w:r>
      <w:proofErr w:type="spellStart"/>
      <w:r>
        <w:rPr>
          <w:b/>
          <w:szCs w:val="24"/>
        </w:rPr>
        <w:t>Mozy</w:t>
      </w:r>
      <w:proofErr w:type="spellEnd"/>
      <w:r>
        <w:rPr>
          <w:b/>
          <w:szCs w:val="24"/>
        </w:rPr>
        <w:t>); B.</w:t>
      </w:r>
      <w:r>
        <w:rPr>
          <w:b/>
          <w:szCs w:val="24"/>
        </w:rPr>
        <w:t>P : 3595 ; Tél. : (222) 45 29 62 01 ; Fax : (222) 45429 62 01  Nouakchott – Mauritanie</w:t>
      </w:r>
      <w:r>
        <w:rPr>
          <w:i/>
        </w:rPr>
        <w:t>:</w:t>
      </w:r>
      <w:r>
        <w:rPr>
          <w:rFonts w:ascii="Helvetica" w:hAnsi="Helvetica"/>
          <w:color w:val="000000"/>
          <w:sz w:val="20"/>
          <w:shd w:val="clear" w:color="auto" w:fill="FFFFFF"/>
        </w:rPr>
        <w:t xml:space="preserve"> </w:t>
      </w:r>
      <w:r>
        <w:rPr>
          <w:b/>
          <w:szCs w:val="24"/>
        </w:rPr>
        <w:t>belkotob@yahoo.fr</w:t>
      </w:r>
      <w:r>
        <w:rPr>
          <w:szCs w:val="24"/>
        </w:rPr>
        <w:t>.</w:t>
      </w:r>
    </w:p>
    <w:p w:rsidR="00C67FE8" w:rsidRDefault="008E1238">
      <w:pPr>
        <w:numPr>
          <w:ilvl w:val="0"/>
          <w:numId w:val="1"/>
        </w:numPr>
        <w:suppressAutoHyphens/>
        <w:spacing w:before="240" w:after="120"/>
        <w:ind w:left="567" w:hanging="567"/>
        <w:jc w:val="both"/>
        <w:rPr>
          <w:szCs w:val="24"/>
        </w:rPr>
      </w:pPr>
      <w:r>
        <w:rPr>
          <w:szCs w:val="24"/>
        </w:rPr>
        <w:t>Les candidats intéressés peuvent obtenir un dossier d’Appel d’offres complet en formulant une demande écrite à l’adresse mentionnée ci-dessus</w:t>
      </w:r>
      <w:r>
        <w:rPr>
          <w:sz w:val="28"/>
          <w:szCs w:val="28"/>
        </w:rPr>
        <w:t xml:space="preserve"> </w:t>
      </w:r>
      <w:r>
        <w:rPr>
          <w:szCs w:val="24"/>
        </w:rPr>
        <w:t xml:space="preserve">contre </w:t>
      </w:r>
      <w:r>
        <w:rPr>
          <w:szCs w:val="24"/>
        </w:rPr>
        <w:t xml:space="preserve">un paiement non remboursable au </w:t>
      </w:r>
      <w:r>
        <w:rPr>
          <w:b/>
          <w:szCs w:val="24"/>
        </w:rPr>
        <w:t>Trésor Public exclusivement</w:t>
      </w:r>
      <w:r>
        <w:rPr>
          <w:szCs w:val="24"/>
        </w:rPr>
        <w:t xml:space="preserve">, Cinq mille </w:t>
      </w:r>
      <w:r>
        <w:rPr>
          <w:b/>
          <w:bCs/>
          <w:szCs w:val="24"/>
        </w:rPr>
        <w:t>(</w:t>
      </w:r>
      <w:r>
        <w:rPr>
          <w:b/>
          <w:bCs/>
          <w:iCs/>
          <w:szCs w:val="24"/>
        </w:rPr>
        <w:t>5 000) MRU</w:t>
      </w:r>
      <w:r>
        <w:rPr>
          <w:iCs/>
          <w:szCs w:val="24"/>
        </w:rPr>
        <w:t>.</w:t>
      </w:r>
      <w:r>
        <w:rPr>
          <w:szCs w:val="24"/>
        </w:rPr>
        <w:t xml:space="preserve"> La méthode de paiement sera par versement direct au trésor public</w:t>
      </w:r>
      <w:r>
        <w:rPr>
          <w:iCs/>
          <w:szCs w:val="24"/>
        </w:rPr>
        <w:t xml:space="preserve">. </w:t>
      </w:r>
      <w:r>
        <w:rPr>
          <w:szCs w:val="24"/>
        </w:rPr>
        <w:t>Le document d’Appel d’offres sera remis au candidat directement</w:t>
      </w:r>
    </w:p>
    <w:p w:rsidR="00C67FE8" w:rsidRDefault="008E1238">
      <w:pPr>
        <w:numPr>
          <w:ilvl w:val="0"/>
          <w:numId w:val="1"/>
        </w:numPr>
        <w:suppressAutoHyphens/>
        <w:spacing w:before="240" w:after="120"/>
        <w:ind w:left="567" w:hanging="567"/>
        <w:jc w:val="both"/>
        <w:rPr>
          <w:i/>
          <w:iCs/>
          <w:szCs w:val="24"/>
        </w:rPr>
      </w:pPr>
      <w:r>
        <w:rPr>
          <w:szCs w:val="24"/>
        </w:rPr>
        <w:lastRenderedPageBreak/>
        <w:t xml:space="preserve">Les offres devront être remises à l’adresse ci-dessous au plus tard le </w:t>
      </w:r>
      <w:r>
        <w:rPr>
          <w:b/>
          <w:bCs/>
          <w:szCs w:val="24"/>
        </w:rPr>
        <w:t xml:space="preserve">mardi 27 Septembre 2022 à </w:t>
      </w:r>
      <w:r>
        <w:rPr>
          <w:b/>
          <w:bCs/>
          <w:i/>
          <w:iCs/>
          <w:szCs w:val="24"/>
        </w:rPr>
        <w:t>12 heures locales</w:t>
      </w:r>
      <w:r>
        <w:rPr>
          <w:szCs w:val="24"/>
        </w:rPr>
        <w:t>. La soumission des offres par voie électronique ne sera pas autorisée. Les offres remises en retard ne seront pas acceptées. Les offres seron</w:t>
      </w:r>
      <w:r>
        <w:rPr>
          <w:szCs w:val="24"/>
        </w:rPr>
        <w:t xml:space="preserve">t ouvertes en présence des représentants des soumissionnaires et des personnes présentes à l’adresse mentionnée ci-dessous </w:t>
      </w:r>
      <w:r>
        <w:rPr>
          <w:b/>
          <w:bCs/>
          <w:szCs w:val="24"/>
        </w:rPr>
        <w:t xml:space="preserve">le 27 Septembre 2022 à </w:t>
      </w:r>
      <w:r>
        <w:rPr>
          <w:b/>
          <w:bCs/>
          <w:i/>
          <w:iCs/>
          <w:szCs w:val="24"/>
        </w:rPr>
        <w:t>12 heures locales</w:t>
      </w:r>
      <w:r>
        <w:rPr>
          <w:i/>
          <w:iCs/>
          <w:szCs w:val="24"/>
        </w:rPr>
        <w:t>.</w:t>
      </w:r>
    </w:p>
    <w:p w:rsidR="00C67FE8" w:rsidRDefault="008E1238">
      <w:pPr>
        <w:widowControl w:val="0"/>
        <w:numPr>
          <w:ilvl w:val="0"/>
          <w:numId w:val="1"/>
        </w:numPr>
        <w:tabs>
          <w:tab w:val="left" w:pos="567"/>
        </w:tabs>
        <w:kinsoku w:val="0"/>
        <w:overflowPunct w:val="0"/>
        <w:autoSpaceDE w:val="0"/>
        <w:autoSpaceDN w:val="0"/>
        <w:adjustRightInd w:val="0"/>
        <w:spacing w:after="120"/>
        <w:ind w:right="12"/>
        <w:jc w:val="both"/>
      </w:pPr>
      <w:r>
        <w:rPr>
          <w:spacing w:val="-1"/>
        </w:rPr>
        <w:t xml:space="preserve">Les exigences minimales en matière de qualification sont : </w:t>
      </w:r>
    </w:p>
    <w:p w:rsidR="00C67FE8" w:rsidRDefault="008E1238">
      <w:pPr>
        <w:pStyle w:val="Paragraphedeliste"/>
        <w:numPr>
          <w:ilvl w:val="0"/>
          <w:numId w:val="2"/>
        </w:numPr>
        <w:tabs>
          <w:tab w:val="left" w:pos="0"/>
          <w:tab w:val="left" w:pos="3060"/>
        </w:tabs>
        <w:spacing w:after="120"/>
        <w:rPr>
          <w:i/>
          <w:iCs/>
          <w:szCs w:val="24"/>
          <w:lang w:eastAsia="en-US"/>
        </w:rPr>
      </w:pPr>
      <w:r>
        <w:rPr>
          <w:szCs w:val="24"/>
        </w:rPr>
        <w:t>Le Soumissionnaire doit fournir</w:t>
      </w:r>
      <w:r>
        <w:rPr>
          <w:szCs w:val="24"/>
        </w:rPr>
        <w:t xml:space="preserve"> son chiffre d’affaires sur les 3 dernières années et le chiffre d’affaires annuel moyen du Candidat sur les 03 dernières années doit être égal ou supérieur au montant de la soumission en ouguiyas ou son équivalent en d’autres monnaies</w:t>
      </w:r>
      <w:r>
        <w:rPr>
          <w:i/>
          <w:iCs/>
          <w:szCs w:val="24"/>
          <w:lang w:eastAsia="en-US"/>
        </w:rPr>
        <w:t>.</w:t>
      </w:r>
    </w:p>
    <w:p w:rsidR="00C67FE8" w:rsidRDefault="008E1238">
      <w:pPr>
        <w:pStyle w:val="Paragraphedeliste"/>
        <w:numPr>
          <w:ilvl w:val="0"/>
          <w:numId w:val="2"/>
        </w:numPr>
        <w:spacing w:after="200" w:line="276" w:lineRule="auto"/>
        <w:rPr>
          <w:b/>
          <w:bCs/>
          <w:i/>
          <w:iCs/>
          <w:szCs w:val="24"/>
          <w:u w:val="single"/>
          <w:lang w:eastAsia="en-US"/>
        </w:rPr>
      </w:pPr>
      <w:r>
        <w:rPr>
          <w:i/>
          <w:iCs/>
          <w:szCs w:val="24"/>
          <w:lang w:eastAsia="en-US"/>
        </w:rPr>
        <w:t xml:space="preserve">Une </w:t>
      </w:r>
      <w:r>
        <w:rPr>
          <w:b/>
          <w:i/>
          <w:iCs/>
          <w:szCs w:val="24"/>
          <w:u w:val="single"/>
          <w:lang w:eastAsia="en-US"/>
        </w:rPr>
        <w:t xml:space="preserve">Attestation de </w:t>
      </w:r>
      <w:r>
        <w:rPr>
          <w:b/>
          <w:i/>
          <w:iCs/>
          <w:szCs w:val="24"/>
          <w:u w:val="single"/>
          <w:lang w:eastAsia="en-US"/>
        </w:rPr>
        <w:t>Ligne de Crédit</w:t>
      </w:r>
      <w:r>
        <w:rPr>
          <w:i/>
          <w:iCs/>
          <w:szCs w:val="24"/>
          <w:lang w:eastAsia="en-US"/>
        </w:rPr>
        <w:t xml:space="preserve"> ou une </w:t>
      </w:r>
      <w:r>
        <w:rPr>
          <w:b/>
          <w:i/>
          <w:iCs/>
          <w:szCs w:val="24"/>
          <w:u w:val="single"/>
          <w:lang w:eastAsia="en-US"/>
        </w:rPr>
        <w:t>Attestation d’Autofinancement</w:t>
      </w:r>
      <w:r>
        <w:rPr>
          <w:i/>
          <w:iCs/>
          <w:szCs w:val="24"/>
          <w:lang w:eastAsia="en-US"/>
        </w:rPr>
        <w:t xml:space="preserve"> délivrée par une banque acceptable par l’administration d’un montant égal au moins à  quatre </w:t>
      </w:r>
      <w:r>
        <w:rPr>
          <w:szCs w:val="24"/>
          <w:lang w:eastAsia="en-US"/>
        </w:rPr>
        <w:t xml:space="preserve"> </w:t>
      </w:r>
      <w:r>
        <w:rPr>
          <w:i/>
          <w:iCs/>
          <w:szCs w:val="24"/>
          <w:lang w:eastAsia="en-US"/>
        </w:rPr>
        <w:t xml:space="preserve">millions </w:t>
      </w:r>
      <w:r>
        <w:rPr>
          <w:b/>
          <w:bCs/>
          <w:szCs w:val="24"/>
          <w:lang w:eastAsia="en-US"/>
        </w:rPr>
        <w:t>4 000 000 MRU</w:t>
      </w:r>
      <w:r>
        <w:rPr>
          <w:i/>
          <w:iCs/>
          <w:szCs w:val="24"/>
          <w:lang w:eastAsia="en-US"/>
        </w:rPr>
        <w:t>.</w:t>
      </w:r>
    </w:p>
    <w:p w:rsidR="00C67FE8" w:rsidRDefault="008E1238">
      <w:pPr>
        <w:pStyle w:val="Paragraphedeliste"/>
        <w:numPr>
          <w:ilvl w:val="0"/>
          <w:numId w:val="2"/>
        </w:numPr>
        <w:spacing w:after="200" w:line="276" w:lineRule="auto"/>
        <w:rPr>
          <w:b/>
          <w:bCs/>
          <w:i/>
          <w:iCs/>
          <w:szCs w:val="24"/>
          <w:u w:val="single"/>
          <w:lang w:eastAsia="en-US"/>
        </w:rPr>
      </w:pPr>
      <w:r>
        <w:rPr>
          <w:b/>
          <w:bCs/>
          <w:szCs w:val="24"/>
          <w:lang w:eastAsia="en-US"/>
        </w:rPr>
        <w:t>L</w:t>
      </w:r>
      <w:r>
        <w:rPr>
          <w:szCs w:val="24"/>
          <w:lang w:eastAsia="en-US"/>
        </w:rPr>
        <w:t xml:space="preserve">e Candidat doit prouver, documentation à l’appui, qu’il a réalisé </w:t>
      </w:r>
      <w:r>
        <w:rPr>
          <w:i/>
          <w:iCs/>
          <w:szCs w:val="24"/>
          <w:lang w:eastAsia="en-US"/>
        </w:rPr>
        <w:t>au cours des trois</w:t>
      </w:r>
      <w:r>
        <w:rPr>
          <w:i/>
          <w:iCs/>
          <w:szCs w:val="24"/>
          <w:lang w:eastAsia="en-US"/>
        </w:rPr>
        <w:t xml:space="preserve"> dernières années  de façon satisfaisante, un (01) marché comparable en volume et nature au marché envisagé.</w:t>
      </w:r>
    </w:p>
    <w:p w:rsidR="00C67FE8" w:rsidRDefault="00C67FE8">
      <w:pPr>
        <w:pStyle w:val="Paragraphedeliste"/>
        <w:widowControl w:val="0"/>
        <w:tabs>
          <w:tab w:val="left" w:pos="567"/>
        </w:tabs>
        <w:kinsoku w:val="0"/>
        <w:spacing w:after="120"/>
        <w:ind w:left="643" w:right="12"/>
      </w:pPr>
    </w:p>
    <w:p w:rsidR="00C67FE8" w:rsidRDefault="008E1238">
      <w:pPr>
        <w:numPr>
          <w:ilvl w:val="0"/>
          <w:numId w:val="1"/>
        </w:numPr>
        <w:suppressAutoHyphens/>
        <w:spacing w:before="240" w:after="120"/>
        <w:ind w:left="567" w:hanging="567"/>
        <w:jc w:val="both"/>
        <w:rPr>
          <w:color w:val="002060"/>
          <w:szCs w:val="24"/>
        </w:rPr>
      </w:pPr>
      <w:r>
        <w:rPr>
          <w:color w:val="002060"/>
        </w:rPr>
        <w:t xml:space="preserve">La Période de validité de l’offre sera au moins </w:t>
      </w:r>
      <w:r>
        <w:rPr>
          <w:b/>
          <w:bCs/>
          <w:color w:val="002060"/>
        </w:rPr>
        <w:t>de 90 jours</w:t>
      </w:r>
      <w:r>
        <w:rPr>
          <w:color w:val="002060"/>
        </w:rPr>
        <w:t>.</w:t>
      </w:r>
    </w:p>
    <w:p w:rsidR="00C67FE8" w:rsidRDefault="008E1238">
      <w:pPr>
        <w:numPr>
          <w:ilvl w:val="0"/>
          <w:numId w:val="1"/>
        </w:numPr>
        <w:suppressAutoHyphens/>
        <w:spacing w:before="240" w:after="120"/>
        <w:ind w:left="567" w:hanging="567"/>
        <w:jc w:val="both"/>
        <w:rPr>
          <w:szCs w:val="24"/>
        </w:rPr>
      </w:pPr>
      <w:r>
        <w:rPr>
          <w:szCs w:val="24"/>
        </w:rPr>
        <w:t xml:space="preserve">Les offres doivent être accompagnées </w:t>
      </w:r>
      <w:r>
        <w:rPr>
          <w:b/>
          <w:bCs/>
          <w:szCs w:val="24"/>
        </w:rPr>
        <w:t>d’</w:t>
      </w:r>
      <w:r>
        <w:rPr>
          <w:b/>
          <w:bCs/>
          <w:i/>
          <w:iCs/>
          <w:szCs w:val="24"/>
        </w:rPr>
        <w:t>une Garantie de l’offre</w:t>
      </w:r>
      <w:r>
        <w:rPr>
          <w:szCs w:val="24"/>
        </w:rPr>
        <w:t xml:space="preserve">, pour un montant de </w:t>
      </w:r>
      <w:r>
        <w:rPr>
          <w:b/>
          <w:bCs/>
          <w:i/>
          <w:iCs/>
          <w:szCs w:val="24"/>
        </w:rPr>
        <w:t>20</w:t>
      </w:r>
      <w:r>
        <w:rPr>
          <w:b/>
          <w:bCs/>
          <w:i/>
          <w:iCs/>
          <w:szCs w:val="24"/>
        </w:rPr>
        <w:t>0 000 MRU</w:t>
      </w:r>
      <w:r>
        <w:rPr>
          <w:i/>
          <w:iCs/>
          <w:szCs w:val="24"/>
        </w:rPr>
        <w:t xml:space="preserve">. </w:t>
      </w:r>
    </w:p>
    <w:p w:rsidR="00C67FE8" w:rsidRDefault="008E1238">
      <w:pPr>
        <w:numPr>
          <w:ilvl w:val="0"/>
          <w:numId w:val="1"/>
        </w:numPr>
        <w:suppressAutoHyphens/>
        <w:spacing w:before="240" w:after="120"/>
        <w:ind w:left="567" w:hanging="567"/>
        <w:jc w:val="both"/>
        <w:rPr>
          <w:i/>
        </w:rPr>
      </w:pPr>
      <w:r>
        <w:rPr>
          <w:szCs w:val="24"/>
        </w:rPr>
        <w:t xml:space="preserve">L’adresse à laquelle il est fait référence ci-dessus est </w:t>
      </w:r>
      <w:r>
        <w:rPr>
          <w:i/>
          <w:iCs/>
          <w:szCs w:val="24"/>
        </w:rPr>
        <w:t xml:space="preserve"> </w:t>
      </w:r>
    </w:p>
    <w:bookmarkEnd w:id="1"/>
    <w:p w:rsidR="00C67FE8" w:rsidRDefault="008E1238">
      <w:pPr>
        <w:tabs>
          <w:tab w:val="right" w:pos="7254"/>
        </w:tabs>
        <w:ind w:left="567"/>
        <w:jc w:val="center"/>
        <w:rPr>
          <w:b/>
          <w:szCs w:val="24"/>
        </w:rPr>
      </w:pPr>
      <w:r>
        <w:rPr>
          <w:b/>
          <w:szCs w:val="24"/>
        </w:rPr>
        <w:t xml:space="preserve">Commission de Passation des Marchés Publics du Ministère de la Santé (CPMP/MS) </w:t>
      </w:r>
      <w:r>
        <w:rPr>
          <w:b/>
          <w:szCs w:val="24"/>
          <w:lang w:eastAsia="en-US"/>
        </w:rPr>
        <w:t xml:space="preserve">ILOT ZRB, lot N°500, à l’Ouest du Carrefour BANA BLANC à côté de la lunetterie </w:t>
      </w:r>
      <w:proofErr w:type="spellStart"/>
      <w:r>
        <w:rPr>
          <w:b/>
          <w:szCs w:val="24"/>
          <w:lang w:eastAsia="en-US"/>
        </w:rPr>
        <w:t>OPtikos</w:t>
      </w:r>
      <w:proofErr w:type="spellEnd"/>
      <w:r>
        <w:rPr>
          <w:b/>
          <w:szCs w:val="24"/>
          <w:lang w:eastAsia="en-US"/>
        </w:rPr>
        <w:t xml:space="preserve">, Nouakchott- </w:t>
      </w:r>
      <w:r>
        <w:rPr>
          <w:b/>
          <w:szCs w:val="24"/>
          <w:lang w:eastAsia="en-US"/>
        </w:rPr>
        <w:t>Mauritanie.</w:t>
      </w:r>
    </w:p>
    <w:p w:rsidR="00C67FE8" w:rsidRDefault="00C67FE8">
      <w:pPr>
        <w:tabs>
          <w:tab w:val="right" w:pos="7254"/>
        </w:tabs>
        <w:spacing w:line="276" w:lineRule="auto"/>
        <w:jc w:val="center"/>
        <w:rPr>
          <w:b/>
          <w:szCs w:val="24"/>
          <w:lang w:eastAsia="en-US"/>
        </w:rPr>
      </w:pPr>
    </w:p>
    <w:p w:rsidR="00C67FE8" w:rsidRDefault="00C67FE8">
      <w:pPr>
        <w:spacing w:before="240" w:after="120"/>
        <w:rPr>
          <w:szCs w:val="24"/>
        </w:rPr>
      </w:pPr>
    </w:p>
    <w:p w:rsidR="00C67FE8" w:rsidRDefault="008E1238">
      <w:pPr>
        <w:spacing w:before="240" w:after="120"/>
        <w:jc w:val="center"/>
        <w:rPr>
          <w:b/>
          <w:bCs/>
          <w:szCs w:val="24"/>
        </w:rPr>
      </w:pPr>
      <w:r>
        <w:rPr>
          <w:b/>
          <w:bCs/>
          <w:szCs w:val="24"/>
        </w:rPr>
        <w:t>Le Secrétaire Général du Ministère de la Santé</w:t>
      </w:r>
    </w:p>
    <w:p w:rsidR="00C67FE8" w:rsidRDefault="00C67FE8">
      <w:pPr>
        <w:spacing w:before="240" w:after="120"/>
        <w:rPr>
          <w:szCs w:val="24"/>
        </w:rPr>
      </w:pPr>
    </w:p>
    <w:p w:rsidR="00C67FE8" w:rsidRDefault="00C67FE8"/>
    <w:sectPr w:rsidR="00C6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1FA5"/>
    <w:multiLevelType w:val="hybridMultilevel"/>
    <w:tmpl w:val="7F369C6C"/>
    <w:lvl w:ilvl="0" w:tplc="98FA2DE0">
      <w:start w:val="1"/>
      <w:numFmt w:val="decimal"/>
      <w:lvlText w:val="%1."/>
      <w:lvlJc w:val="left"/>
      <w:pPr>
        <w:tabs>
          <w:tab w:val="num" w:pos="1003"/>
        </w:tabs>
        <w:ind w:left="1003"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98696E"/>
    <w:multiLevelType w:val="hybridMultilevel"/>
    <w:tmpl w:val="A43AEB10"/>
    <w:lvl w:ilvl="0" w:tplc="64044598">
      <w:start w:val="6"/>
      <w:numFmt w:val="bullet"/>
      <w:lvlText w:val="-"/>
      <w:lvlJc w:val="left"/>
      <w:pPr>
        <w:ind w:left="1723" w:hanging="360"/>
      </w:pPr>
      <w:rPr>
        <w:rFonts w:ascii="Times New Roman" w:eastAsia="Times New Roman" w:hAnsi="Times New Roman"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E8"/>
    <w:rsid w:val="008E1238"/>
    <w:rsid w:val="00C67F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D7348-D8CD-4C6D-B379-5C0F9FA7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
    <w:basedOn w:val="Normal"/>
    <w:link w:val="ParagraphedelisteCar"/>
    <w:uiPriority w:val="34"/>
    <w:qFormat/>
    <w:pPr>
      <w:suppressAutoHyphens/>
      <w:overflowPunct w:val="0"/>
      <w:autoSpaceDE w:val="0"/>
      <w:autoSpaceDN w:val="0"/>
      <w:adjustRightInd w:val="0"/>
      <w:ind w:left="720"/>
      <w:contextualSpacing/>
      <w:jc w:val="both"/>
      <w:textAlignment w:val="baseline"/>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Pr>
      <w:rFonts w:ascii="Times New Roman" w:eastAsia="Times New Roman" w:hAnsi="Times New Roman" w:cs="Times New Roman"/>
      <w:sz w:val="24"/>
      <w:szCs w:val="20"/>
      <w:lang w:eastAsia="fr-FR"/>
    </w:rPr>
  </w:style>
  <w:style w:type="paragraph" w:customStyle="1" w:styleId="Heading1a">
    <w:name w:val="Heading 1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Utilisateur Windows</cp:lastModifiedBy>
  <cp:revision>2</cp:revision>
  <dcterms:created xsi:type="dcterms:W3CDTF">2022-08-22T21:37:00Z</dcterms:created>
  <dcterms:modified xsi:type="dcterms:W3CDTF">2022-08-22T21:37:00Z</dcterms:modified>
</cp:coreProperties>
</file>