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E9" w:rsidRPr="00987DE9" w:rsidRDefault="00987DE9" w:rsidP="00987DE9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bookmarkStart w:id="0" w:name="_GoBack"/>
      <w:bookmarkEnd w:id="0"/>
      <w:r w:rsidRPr="00987DE9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REPUBLIQUE ISLAMIQUE DE MAURITANIE</w:t>
      </w:r>
    </w:p>
    <w:p w:rsidR="00987DE9" w:rsidRPr="00987DE9" w:rsidRDefault="00987DE9" w:rsidP="00987DE9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987DE9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Honneur – Fraternité - Justice</w:t>
      </w:r>
    </w:p>
    <w:p w:rsidR="00987DE9" w:rsidRPr="00987DE9" w:rsidRDefault="00987DE9" w:rsidP="00987DE9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987DE9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Institut Mauritanien de Recherche Océanographique et des Pêches (IMROP)</w:t>
      </w:r>
    </w:p>
    <w:p w:rsidR="00987DE9" w:rsidRPr="00987DE9" w:rsidRDefault="00987DE9" w:rsidP="00987DE9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040404"/>
          <w:sz w:val="21"/>
          <w:szCs w:val="21"/>
          <w:lang w:val="en-US" w:eastAsia="fr-FR"/>
        </w:rPr>
      </w:pPr>
      <w:r w:rsidRPr="00987DE9">
        <w:rPr>
          <w:rFonts w:ascii="Verdana" w:eastAsia="Times New Roman" w:hAnsi="Verdana" w:cs="Segoe UI"/>
          <w:b/>
          <w:bCs/>
          <w:color w:val="040404"/>
          <w:sz w:val="18"/>
          <w:szCs w:val="18"/>
          <w:lang w:val="en-US" w:eastAsia="fr-FR"/>
        </w:rPr>
        <w:t>AAO N° 01/IMROP/CPMP-MPEM/2022</w:t>
      </w:r>
    </w:p>
    <w:p w:rsidR="00987DE9" w:rsidRPr="00987DE9" w:rsidRDefault="00987DE9" w:rsidP="00987DE9">
      <w:pPr>
        <w:shd w:val="clear" w:color="auto" w:fill="FFFFFF"/>
        <w:spacing w:after="100" w:afterAutospacing="1" w:line="240" w:lineRule="auto"/>
        <w:ind w:right="15"/>
        <w:jc w:val="center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987DE9">
        <w:rPr>
          <w:rFonts w:ascii="Verdana" w:eastAsia="Times New Roman" w:hAnsi="Verdana" w:cs="Segoe UI"/>
          <w:b/>
          <w:bCs/>
          <w:i/>
          <w:iCs/>
          <w:color w:val="040404"/>
          <w:sz w:val="18"/>
          <w:szCs w:val="18"/>
          <w:lang w:eastAsia="fr-FR"/>
        </w:rPr>
        <w:t>Pour la Fourniture de Six véhicules en deux (02) lots distincts au profit de l’IMROP</w:t>
      </w:r>
    </w:p>
    <w:p w:rsidR="00987DE9" w:rsidRPr="00987DE9" w:rsidRDefault="00987DE9" w:rsidP="00987D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987DE9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Cet Avis d’appel d’offres fait suite au Plan Prévisionnel Annuel de Passation des Marchés (</w:t>
      </w:r>
      <w:r w:rsidRPr="00987DE9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PPM</w:t>
      </w:r>
      <w:r w:rsidRPr="00987DE9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) de l’IMROP pour l’année </w:t>
      </w:r>
      <w:r w:rsidRPr="00987DE9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2022</w:t>
      </w:r>
      <w:r w:rsidRPr="00987DE9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 ;</w:t>
      </w:r>
    </w:p>
    <w:p w:rsidR="00987DE9" w:rsidRPr="00987DE9" w:rsidRDefault="00987DE9" w:rsidP="00987DE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987DE9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L’Institut Mauritanien de Recherche Océanographique et des Pêches (IMROP) </w:t>
      </w:r>
      <w:r w:rsidRPr="00987DE9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a obtenu dans le cadre de l’exécution de son budget des fonds, afin de financer son plan d’action</w:t>
      </w:r>
      <w:r w:rsidRPr="00987DE9">
        <w:rPr>
          <w:rFonts w:ascii="Verdana" w:eastAsia="Times New Roman" w:hAnsi="Verdana" w:cs="Segoe UI"/>
          <w:i/>
          <w:iCs/>
          <w:color w:val="040404"/>
          <w:sz w:val="18"/>
          <w:szCs w:val="18"/>
          <w:lang w:eastAsia="fr-FR"/>
        </w:rPr>
        <w:t>, </w:t>
      </w:r>
      <w:r w:rsidRPr="00987DE9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et a l’intention d’utiliser une partie de ces fonds pour effectuer des paiements au titre du Marché de </w:t>
      </w:r>
      <w:r w:rsidRPr="00987DE9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Fourniture de six (06) véhicules en deux lots (02) lots distincts :</w:t>
      </w:r>
    </w:p>
    <w:p w:rsidR="00987DE9" w:rsidRPr="00987DE9" w:rsidRDefault="00987DE9" w:rsidP="00987DE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987DE9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Lot n°1 : fourniture de deux véhicules 4X4 Diesel pick-up double cabines</w:t>
      </w:r>
    </w:p>
    <w:p w:rsidR="00987DE9" w:rsidRPr="00987DE9" w:rsidRDefault="00987DE9" w:rsidP="00987DE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987DE9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Lot n°2 : fourniture de quatre véhicules légers, dont deux véhicules berlines et deux véhicules fourgonnettes cinq places assises</w:t>
      </w:r>
    </w:p>
    <w:p w:rsidR="00987DE9" w:rsidRPr="00987DE9" w:rsidRDefault="00987DE9" w:rsidP="00987DE9">
      <w:pPr>
        <w:shd w:val="clear" w:color="auto" w:fill="FFFFFF"/>
        <w:spacing w:after="100" w:afterAutospacing="1" w:line="240" w:lineRule="auto"/>
        <w:ind w:right="15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987DE9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Ces véhicules seront fournis à la représentation de l’IMROP à Nouakchott dans un délai ne dépassant pas :</w:t>
      </w:r>
    </w:p>
    <w:p w:rsidR="00987DE9" w:rsidRPr="00987DE9" w:rsidRDefault="00987DE9" w:rsidP="00987DE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987DE9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12 semaines pour le lot n°1 ;</w:t>
      </w:r>
    </w:p>
    <w:p w:rsidR="00987DE9" w:rsidRPr="00987DE9" w:rsidRDefault="00987DE9" w:rsidP="00987DE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987DE9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8 semaines pour le lot n°2 ;</w:t>
      </w:r>
    </w:p>
    <w:p w:rsidR="00987DE9" w:rsidRPr="00987DE9" w:rsidRDefault="00987DE9" w:rsidP="00987DE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987DE9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L’IMROP </w:t>
      </w:r>
      <w:r w:rsidRPr="00987DE9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sollicite des offres sous pli fermé de la part de candidats éligibles et répondant aux qualifications requises pour fournir </w:t>
      </w:r>
      <w:r w:rsidRPr="00987DE9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ces véhicules</w:t>
      </w:r>
      <w:r w:rsidRPr="00987DE9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.</w:t>
      </w:r>
    </w:p>
    <w:p w:rsidR="00987DE9" w:rsidRPr="00987DE9" w:rsidRDefault="00987DE9" w:rsidP="00987DE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987DE9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Le présent appel d’offres est un </w:t>
      </w:r>
      <w:r w:rsidRPr="00987DE9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Appel d’Offres Ouvert National</w:t>
      </w:r>
      <w:r w:rsidRPr="00987DE9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 tel que défini dans le Code des Marchés publics mauritanien.</w:t>
      </w:r>
    </w:p>
    <w:p w:rsidR="00987DE9" w:rsidRPr="00987DE9" w:rsidRDefault="00987DE9" w:rsidP="00987DE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987DE9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Le présent appel d'offres est ouvert à tous les candidats éligibles et remplissant les conditions définies dans le Dossier d'Appel d'Offres.</w:t>
      </w:r>
    </w:p>
    <w:p w:rsidR="00987DE9" w:rsidRPr="00987DE9" w:rsidRDefault="00987DE9" w:rsidP="00987DE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987DE9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Les candidats intéressés peuvent obtenir des informations auprès </w:t>
      </w:r>
      <w:r w:rsidRPr="00987DE9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d</w:t>
      </w:r>
      <w:r w:rsidRPr="00987DE9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e </w:t>
      </w:r>
      <w:r w:rsidRPr="00987DE9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la représentation de l’IMROP à Nouakchott</w:t>
      </w:r>
      <w:r w:rsidRPr="00987DE9">
        <w:rPr>
          <w:rFonts w:ascii="Verdana" w:eastAsia="Times New Roman" w:hAnsi="Verdana" w:cs="Segoe UI"/>
          <w:b/>
          <w:bCs/>
          <w:i/>
          <w:iCs/>
          <w:color w:val="040404"/>
          <w:sz w:val="18"/>
          <w:szCs w:val="18"/>
          <w:lang w:eastAsia="fr-FR"/>
        </w:rPr>
        <w:t>, Plage des pêcheurs en face du marché aux poissons, Tél : 22 42 10 17 </w:t>
      </w:r>
      <w:r w:rsidRPr="00987DE9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et prendre connaissance des documents d’Appel d’Offres à l’adresse mentionnée ci-après : </w:t>
      </w:r>
      <w:r w:rsidRPr="00987DE9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Commission de Passation des Marchés Publics du Département du Ministère des Pêches et de l'Economie Maritime (CPMP –MPEM) Siège : Ilot C 335 ; BP 5716. Nouakchott</w:t>
      </w:r>
      <w:r w:rsidRPr="00987DE9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.</w:t>
      </w:r>
    </w:p>
    <w:p w:rsidR="00987DE9" w:rsidRPr="00987DE9" w:rsidRDefault="00987DE9" w:rsidP="00987DE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987DE9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Les exigences minimales en matière de qualification sont :</w:t>
      </w:r>
    </w:p>
    <w:p w:rsidR="00987DE9" w:rsidRPr="00987DE9" w:rsidRDefault="00987DE9" w:rsidP="00987DE9">
      <w:pPr>
        <w:shd w:val="clear" w:color="auto" w:fill="FFFFFF"/>
        <w:spacing w:after="100" w:afterAutospacing="1" w:line="240" w:lineRule="auto"/>
        <w:ind w:left="705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987DE9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Le Candidat doit prouver, documentation à l’appui, qu’il satisfait aux exigences de capacités ci-après :</w:t>
      </w:r>
    </w:p>
    <w:p w:rsidR="00987DE9" w:rsidRPr="00987DE9" w:rsidRDefault="00987DE9" w:rsidP="00987DE9">
      <w:pPr>
        <w:shd w:val="clear" w:color="auto" w:fill="FFFFFF"/>
        <w:spacing w:after="100" w:afterAutospacing="1" w:line="240" w:lineRule="auto"/>
        <w:ind w:left="285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987DE9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Capacité Financière</w:t>
      </w:r>
    </w:p>
    <w:p w:rsidR="00987DE9" w:rsidRPr="00987DE9" w:rsidRDefault="00987DE9" w:rsidP="00987DE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987DE9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Avoir réalisé un chiffre d’affaires annuel moyen supérieur ou égal au montant de la soumission pour les trois dernières années (2019, 2020 et 2021), ce chiffre d’affaires sera obtenu à partir des états financiers certifiés par expert-comptable.</w:t>
      </w:r>
    </w:p>
    <w:p w:rsidR="00987DE9" w:rsidRPr="00987DE9" w:rsidRDefault="00987DE9" w:rsidP="00987DE9">
      <w:pPr>
        <w:shd w:val="clear" w:color="auto" w:fill="FFFFFF"/>
        <w:spacing w:after="100" w:afterAutospacing="1" w:line="240" w:lineRule="auto"/>
        <w:ind w:left="285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987DE9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Capacité Technique :</w:t>
      </w:r>
    </w:p>
    <w:p w:rsidR="00987DE9" w:rsidRPr="00987DE9" w:rsidRDefault="00987DE9" w:rsidP="00987DE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987DE9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 xml:space="preserve">Avoir réalisé, à titre de fournisseur principal et au cours des cinq dernières années (2017, 2018, 2019, 2020 et 2021), deux marchés similaires en nature (fourniture de </w:t>
      </w:r>
      <w:r w:rsidRPr="00987DE9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lastRenderedPageBreak/>
        <w:t>véhicules),prouvés par  des attestations de bonne fin d’exécution ou des procès-verbaux de réception provisoire sans réserves ou définitive signés par les maîtres d’ouvrage ou leurs représentants (administration publique, sociétés ou offices d’Etat ou mixtes, représentations ou organisations internationales).</w:t>
      </w:r>
    </w:p>
    <w:p w:rsidR="00987DE9" w:rsidRPr="00987DE9" w:rsidRDefault="00987DE9" w:rsidP="00987DE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987DE9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Disposer d’un service après-vente décrit à la clause IC 18.1 du Règlement Particulier de l’Appel d’Offres (RPAO)</w:t>
      </w:r>
    </w:p>
    <w:p w:rsidR="00987DE9" w:rsidRPr="00987DE9" w:rsidRDefault="00987DE9" w:rsidP="00987D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987DE9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 Voir le document d’Appel d’offres pour les informations détaillées.</w:t>
      </w:r>
    </w:p>
    <w:p w:rsidR="00987DE9" w:rsidRPr="00987DE9" w:rsidRDefault="00987DE9" w:rsidP="00987DE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987DE9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Les candidats intéressés peuvent obtenir un Dossier d’Appel d’Offres complet à l’adresse mentionnée ci-après : </w:t>
      </w:r>
      <w:r w:rsidRPr="00987DE9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Commission de Passation des Marchés Publics du Département du Ministère des Pêches et de l'Economie Maritime (CPMP –MPEM) Siège : Ilot C 335 ; BP 5716. Nouakchott</w:t>
      </w:r>
      <w:r w:rsidRPr="00987DE9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 </w:t>
      </w:r>
      <w:r w:rsidRPr="00987DE9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à compter de la publication de l’avis d'appel d'offres contre le paiement d’un montant de cinq mille Ouguiyas (5 000 MRU).</w:t>
      </w:r>
    </w:p>
    <w:p w:rsidR="00987DE9" w:rsidRPr="00987DE9" w:rsidRDefault="00987DE9" w:rsidP="00987DE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987DE9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Paiement non remboursable de </w:t>
      </w:r>
      <w:r w:rsidRPr="00987DE9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cinq mille Ouguiyas (5 000 MRU)</w:t>
      </w:r>
      <w:r w:rsidRPr="00987DE9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 ou sa contrevaleur dans une monnaie librement convertible</w:t>
      </w:r>
      <w:r w:rsidRPr="00987DE9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. </w:t>
      </w:r>
      <w:r w:rsidRPr="00987DE9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La méthode de paiement sera par versement </w:t>
      </w:r>
      <w:r w:rsidRPr="00987DE9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au Trésor Public</w:t>
      </w:r>
      <w:r w:rsidRPr="00987DE9">
        <w:rPr>
          <w:rFonts w:ascii="Verdana" w:eastAsia="Times New Roman" w:hAnsi="Verdana" w:cs="Segoe UI"/>
          <w:i/>
          <w:iCs/>
          <w:color w:val="040404"/>
          <w:sz w:val="18"/>
          <w:szCs w:val="18"/>
          <w:lang w:eastAsia="fr-FR"/>
        </w:rPr>
        <w:t>. </w:t>
      </w:r>
      <w:r w:rsidRPr="00987DE9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Le document d’Appel d’offres sera immédiatement remis aux candidats intéressés ou adressé à leur frais en utilisant le mode d’acheminement qu’ils auraient choisis</w:t>
      </w:r>
      <w:r w:rsidRPr="00987DE9">
        <w:rPr>
          <w:rFonts w:ascii="Verdana" w:eastAsia="Times New Roman" w:hAnsi="Verdana" w:cs="Segoe UI"/>
          <w:i/>
          <w:iCs/>
          <w:color w:val="040404"/>
          <w:sz w:val="18"/>
          <w:szCs w:val="18"/>
          <w:lang w:eastAsia="fr-FR"/>
        </w:rPr>
        <w:t>.</w:t>
      </w:r>
    </w:p>
    <w:p w:rsidR="00987DE9" w:rsidRPr="00987DE9" w:rsidRDefault="00987DE9" w:rsidP="00987DE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987DE9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Les offres devront être rédigées en langue française</w:t>
      </w:r>
      <w:r w:rsidRPr="00987DE9">
        <w:rPr>
          <w:rFonts w:ascii="Verdana" w:eastAsia="Times New Roman" w:hAnsi="Verdana" w:cs="Segoe UI"/>
          <w:i/>
          <w:iCs/>
          <w:color w:val="040404"/>
          <w:sz w:val="18"/>
          <w:szCs w:val="18"/>
          <w:lang w:eastAsia="fr-FR"/>
        </w:rPr>
        <w:t> </w:t>
      </w:r>
      <w:r w:rsidRPr="00987DE9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et devront être déposées à l’adresse suivante : </w:t>
      </w:r>
      <w:r w:rsidRPr="00987DE9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Commission de Passation des Marchés Publics du Département du Ministère des Pêches et de l'Economie Maritime (CPMP –MPEM Siège : Ilot C 335 ; BP 5716. Nouakchott </w:t>
      </w:r>
      <w:r w:rsidRPr="00987DE9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au plus tard </w:t>
      </w:r>
      <w:r w:rsidRPr="00987DE9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le 13/01/ 2023 à 12H : 00 TU</w:t>
      </w:r>
      <w:r w:rsidRPr="00987DE9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. Les offres qui ne parviendront pas aux heures et date ci-dessus indiquées, seront rejetées et retournées aux frais des soumissionnaires concernés sans être ouvertes. Les offres seront ouvertes, en présence des représentants des Soumissionnaires qui désirent assister à l’ouverture des plis et à l’adresse : </w:t>
      </w:r>
      <w:r w:rsidRPr="00987DE9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Commission de Passation des Marchés Publics du Département du Ministère des Pêches et de l'Economie Maritime (CPMP –MPEM Siège : Ilot C 335 ; BP 5716. Nouakchott le 13/01/2023 à 12H : 00 TU.</w:t>
      </w:r>
    </w:p>
    <w:p w:rsidR="00987DE9" w:rsidRPr="00987DE9" w:rsidRDefault="00987DE9" w:rsidP="00987DE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987DE9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Les offres doivent comprendre une garantie de soumission de 5% du montant de chaque lot ou le montant équivalent dans une monnaie librement convertible. Cette garantie devra demeurer valide pendant une durée de 120 jours au moins à compter de la date limite de dépôt des offres. Les offres devront demeurer valides pendant une durée de 90 jours, à compter de la date limite de dépôt des offres.</w:t>
      </w:r>
    </w:p>
    <w:p w:rsidR="00987DE9" w:rsidRPr="00987DE9" w:rsidRDefault="00987DE9" w:rsidP="00987DE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987DE9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Les offres doivent être présentées en Toutes Taxes Comprises (TTC)</w:t>
      </w:r>
      <w:r w:rsidRPr="00987DE9">
        <w:rPr>
          <w:rFonts w:ascii="Verdana" w:eastAsia="Times New Roman" w:hAnsi="Verdana" w:cs="Segoe UI"/>
          <w:i/>
          <w:iCs/>
          <w:color w:val="040404"/>
          <w:sz w:val="18"/>
          <w:szCs w:val="18"/>
          <w:lang w:eastAsia="fr-FR"/>
        </w:rPr>
        <w:t>.</w:t>
      </w:r>
    </w:p>
    <w:p w:rsidR="00987DE9" w:rsidRPr="00987DE9" w:rsidRDefault="00987DE9" w:rsidP="00987DE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987DE9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Les candidats peuvent soumissionner pour un ou plusieurs lots et peuvent être attributaire pour un ou plusieurs lots.</w:t>
      </w:r>
    </w:p>
    <w:p w:rsidR="00987DE9" w:rsidRPr="00987DE9" w:rsidRDefault="00987DE9" w:rsidP="00987DE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987DE9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Fait à Nouakchott le 23 décembre 2022</w:t>
      </w:r>
    </w:p>
    <w:p w:rsidR="00987DE9" w:rsidRPr="00987DE9" w:rsidRDefault="00987DE9" w:rsidP="00987DE9">
      <w:pPr>
        <w:shd w:val="clear" w:color="auto" w:fill="FFFFFF"/>
        <w:spacing w:after="100" w:afterAutospacing="1" w:line="240" w:lineRule="auto"/>
        <w:ind w:left="3975"/>
        <w:jc w:val="center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987DE9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                                                                                                                              Le Directeur</w:t>
      </w:r>
    </w:p>
    <w:p w:rsidR="00CB1475" w:rsidRPr="00987DE9" w:rsidRDefault="00CB1475" w:rsidP="00987DE9">
      <w:pPr>
        <w:rPr>
          <w:rtl/>
        </w:rPr>
      </w:pPr>
    </w:p>
    <w:sectPr w:rsidR="00CB1475" w:rsidRPr="00987DE9" w:rsidSect="00995C96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E16"/>
    <w:multiLevelType w:val="multilevel"/>
    <w:tmpl w:val="7D34A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B2D08"/>
    <w:multiLevelType w:val="multilevel"/>
    <w:tmpl w:val="73F64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E4FBF"/>
    <w:multiLevelType w:val="multilevel"/>
    <w:tmpl w:val="53A0AC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E641E"/>
    <w:multiLevelType w:val="multilevel"/>
    <w:tmpl w:val="5290B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C232EB"/>
    <w:multiLevelType w:val="multilevel"/>
    <w:tmpl w:val="2826A3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CE5EB8"/>
    <w:multiLevelType w:val="multilevel"/>
    <w:tmpl w:val="0F64DB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11D6E"/>
    <w:multiLevelType w:val="multilevel"/>
    <w:tmpl w:val="894493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28C6"/>
    <w:multiLevelType w:val="multilevel"/>
    <w:tmpl w:val="E27C2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7B5CC2"/>
    <w:multiLevelType w:val="multilevel"/>
    <w:tmpl w:val="7AA808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4350A0"/>
    <w:multiLevelType w:val="multilevel"/>
    <w:tmpl w:val="B1A2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24775C"/>
    <w:multiLevelType w:val="multilevel"/>
    <w:tmpl w:val="922E86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3D538E"/>
    <w:multiLevelType w:val="multilevel"/>
    <w:tmpl w:val="7466F1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FC21D5"/>
    <w:multiLevelType w:val="multilevel"/>
    <w:tmpl w:val="404E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1C20BD"/>
    <w:multiLevelType w:val="multilevel"/>
    <w:tmpl w:val="5A84DD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103217"/>
    <w:multiLevelType w:val="multilevel"/>
    <w:tmpl w:val="D0D64E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AA5454"/>
    <w:multiLevelType w:val="multilevel"/>
    <w:tmpl w:val="BBF6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7C75E2"/>
    <w:multiLevelType w:val="multilevel"/>
    <w:tmpl w:val="58A66D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655C7C"/>
    <w:multiLevelType w:val="multilevel"/>
    <w:tmpl w:val="905E12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FA1B94"/>
    <w:multiLevelType w:val="multilevel"/>
    <w:tmpl w:val="4AD4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EF2C4B"/>
    <w:multiLevelType w:val="multilevel"/>
    <w:tmpl w:val="0C8479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2D6BC9"/>
    <w:multiLevelType w:val="multilevel"/>
    <w:tmpl w:val="AED6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E160BC"/>
    <w:multiLevelType w:val="multilevel"/>
    <w:tmpl w:val="C4A2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542CC6"/>
    <w:multiLevelType w:val="multilevel"/>
    <w:tmpl w:val="D144A6E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4802FD"/>
    <w:multiLevelType w:val="multilevel"/>
    <w:tmpl w:val="A1BE9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C75F09"/>
    <w:multiLevelType w:val="multilevel"/>
    <w:tmpl w:val="5E58BD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E86171"/>
    <w:multiLevelType w:val="multilevel"/>
    <w:tmpl w:val="D2EC42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1274A1"/>
    <w:multiLevelType w:val="hybridMultilevel"/>
    <w:tmpl w:val="0C685F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C31D58"/>
    <w:multiLevelType w:val="multilevel"/>
    <w:tmpl w:val="DCD0C7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1665DE"/>
    <w:multiLevelType w:val="multilevel"/>
    <w:tmpl w:val="6D9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3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815830"/>
    <w:multiLevelType w:val="multilevel"/>
    <w:tmpl w:val="D160F4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3012E0"/>
    <w:multiLevelType w:val="multilevel"/>
    <w:tmpl w:val="B094B4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C80C87"/>
    <w:multiLevelType w:val="multilevel"/>
    <w:tmpl w:val="8EE679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2"/>
  </w:num>
  <w:num w:numId="3">
    <w:abstractNumId w:val="24"/>
  </w:num>
  <w:num w:numId="4">
    <w:abstractNumId w:val="3"/>
  </w:num>
  <w:num w:numId="5">
    <w:abstractNumId w:val="5"/>
  </w:num>
  <w:num w:numId="6">
    <w:abstractNumId w:val="29"/>
  </w:num>
  <w:num w:numId="7">
    <w:abstractNumId w:val="16"/>
  </w:num>
  <w:num w:numId="8">
    <w:abstractNumId w:val="6"/>
  </w:num>
  <w:num w:numId="9">
    <w:abstractNumId w:val="25"/>
  </w:num>
  <w:num w:numId="10">
    <w:abstractNumId w:val="1"/>
  </w:num>
  <w:num w:numId="11">
    <w:abstractNumId w:val="20"/>
  </w:num>
  <w:num w:numId="12">
    <w:abstractNumId w:val="28"/>
  </w:num>
  <w:num w:numId="13">
    <w:abstractNumId w:val="7"/>
  </w:num>
  <w:num w:numId="14">
    <w:abstractNumId w:val="8"/>
  </w:num>
  <w:num w:numId="15">
    <w:abstractNumId w:val="13"/>
  </w:num>
  <w:num w:numId="16">
    <w:abstractNumId w:val="23"/>
  </w:num>
  <w:num w:numId="17">
    <w:abstractNumId w:val="30"/>
  </w:num>
  <w:num w:numId="18">
    <w:abstractNumId w:val="15"/>
  </w:num>
  <w:num w:numId="19">
    <w:abstractNumId w:val="21"/>
  </w:num>
  <w:num w:numId="20">
    <w:abstractNumId w:val="0"/>
  </w:num>
  <w:num w:numId="21">
    <w:abstractNumId w:val="10"/>
  </w:num>
  <w:num w:numId="22">
    <w:abstractNumId w:val="2"/>
  </w:num>
  <w:num w:numId="23">
    <w:abstractNumId w:val="14"/>
  </w:num>
  <w:num w:numId="24">
    <w:abstractNumId w:val="31"/>
  </w:num>
  <w:num w:numId="25">
    <w:abstractNumId w:val="18"/>
  </w:num>
  <w:num w:numId="26">
    <w:abstractNumId w:val="9"/>
  </w:num>
  <w:num w:numId="27">
    <w:abstractNumId w:val="11"/>
  </w:num>
  <w:num w:numId="28">
    <w:abstractNumId w:val="19"/>
  </w:num>
  <w:num w:numId="29">
    <w:abstractNumId w:val="27"/>
  </w:num>
  <w:num w:numId="30">
    <w:abstractNumId w:val="4"/>
  </w:num>
  <w:num w:numId="31">
    <w:abstractNumId w:val="22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22"/>
    <w:rsid w:val="000123DB"/>
    <w:rsid w:val="000557AD"/>
    <w:rsid w:val="001F6BD1"/>
    <w:rsid w:val="004A6B00"/>
    <w:rsid w:val="00546120"/>
    <w:rsid w:val="00572D5A"/>
    <w:rsid w:val="00656BB6"/>
    <w:rsid w:val="007E6E23"/>
    <w:rsid w:val="008139AB"/>
    <w:rsid w:val="00843A22"/>
    <w:rsid w:val="00947AC9"/>
    <w:rsid w:val="00987DE9"/>
    <w:rsid w:val="00995C96"/>
    <w:rsid w:val="009E42A9"/>
    <w:rsid w:val="00A30432"/>
    <w:rsid w:val="00AC505F"/>
    <w:rsid w:val="00B44FCF"/>
    <w:rsid w:val="00C931B4"/>
    <w:rsid w:val="00CB1475"/>
    <w:rsid w:val="00CE3A88"/>
    <w:rsid w:val="00D17010"/>
    <w:rsid w:val="00FB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7837B-23A3-40FC-990D-FB10B371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6B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4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47AC9"/>
    <w:rPr>
      <w:b/>
      <w:bCs/>
    </w:rPr>
  </w:style>
  <w:style w:type="character" w:styleId="Accentuation">
    <w:name w:val="Emphasis"/>
    <w:basedOn w:val="Policepardfaut"/>
    <w:uiPriority w:val="20"/>
    <w:qFormat/>
    <w:rsid w:val="00947AC9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947A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9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2022-12-24T23:01:00Z</dcterms:created>
  <dcterms:modified xsi:type="dcterms:W3CDTF">2022-12-24T23:01:00Z</dcterms:modified>
</cp:coreProperties>
</file>