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bookmarkStart w:id="0" w:name="_GoBack"/>
      <w:bookmarkEnd w:id="0"/>
      <w:r w:rsidRPr="00947AC9">
        <w:rPr>
          <w:rFonts w:asciiTheme="majorBidi" w:eastAsia="Times New Roman" w:hAnsiTheme="majorBidi" w:cstheme="majorBidi"/>
          <w:b/>
          <w:bCs/>
          <w:color w:val="040404"/>
          <w:sz w:val="24"/>
          <w:szCs w:val="24"/>
          <w:lang w:eastAsia="fr-FR"/>
        </w:rPr>
        <w:t>République Islamique de Mauritanie</w:t>
      </w:r>
    </w:p>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b/>
          <w:bCs/>
          <w:color w:val="040404"/>
          <w:sz w:val="24"/>
          <w:szCs w:val="24"/>
          <w:lang w:eastAsia="fr-FR"/>
        </w:rPr>
        <w:t>Ministère de l’Agriculture</w:t>
      </w:r>
    </w:p>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noProof/>
          <w:color w:val="040404"/>
          <w:sz w:val="24"/>
          <w:szCs w:val="24"/>
          <w:lang w:eastAsia="fr-FR"/>
        </w:rPr>
        <w:drawing>
          <wp:inline distT="0" distB="0" distL="0" distR="0">
            <wp:extent cx="3228975" cy="771525"/>
            <wp:effectExtent l="0" t="0" r="9525" b="9525"/>
            <wp:docPr id="1" name="Image 1" descr="http://www.beta.mr/docs/logos/rim_f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ta.mr/docs/logos/rim_fi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771525"/>
                    </a:xfrm>
                    <a:prstGeom prst="rect">
                      <a:avLst/>
                    </a:prstGeom>
                    <a:noFill/>
                    <a:ln>
                      <a:noFill/>
                    </a:ln>
                  </pic:spPr>
                </pic:pic>
              </a:graphicData>
            </a:graphic>
          </wp:inline>
        </w:drawing>
      </w:r>
    </w:p>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b/>
          <w:bCs/>
          <w:color w:val="040404"/>
          <w:sz w:val="24"/>
          <w:szCs w:val="24"/>
          <w:lang w:eastAsia="fr-FR"/>
        </w:rPr>
        <w:t>Projet de Développement de Filières Inclusives (PRODEFI)</w:t>
      </w:r>
    </w:p>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b/>
          <w:bCs/>
          <w:i/>
          <w:iCs/>
          <w:color w:val="040404"/>
          <w:sz w:val="24"/>
          <w:szCs w:val="24"/>
          <w:lang w:eastAsia="fr-FR"/>
        </w:rPr>
        <w:t>Avis d’Appel d’Offres National (AAON)</w:t>
      </w:r>
    </w:p>
    <w:p w:rsidR="00947AC9" w:rsidRPr="00947AC9" w:rsidRDefault="00947AC9" w:rsidP="00947AC9">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Cet Avis d’appel d’offres fait suite à l’Avis Général de Passation des Marchés paru dans le Site Beta.mr depuis le 22/02/2022.</w:t>
      </w:r>
    </w:p>
    <w:p w:rsidR="00947AC9" w:rsidRPr="00947AC9" w:rsidRDefault="00947AC9" w:rsidP="00947AC9">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Cet Avis d’appel d’offres est relatif au Dossier d’Appel d’Offres </w:t>
      </w:r>
      <w:r w:rsidRPr="00947AC9">
        <w:rPr>
          <w:rFonts w:asciiTheme="majorBidi" w:eastAsia="Times New Roman" w:hAnsiTheme="majorBidi" w:cstheme="majorBidi"/>
          <w:color w:val="000000"/>
          <w:sz w:val="24"/>
          <w:szCs w:val="24"/>
          <w:lang w:eastAsia="fr-FR"/>
        </w:rPr>
        <w:t>N° : 56/CPMP/AGRICULTURE/2022.</w:t>
      </w:r>
    </w:p>
    <w:p w:rsidR="00947AC9" w:rsidRPr="00947AC9" w:rsidRDefault="00947AC9" w:rsidP="00947AC9">
      <w:pPr>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 Gouvernement de la République Islamique de Mauritanie bénéficie d’un don du Fonds International de Développement agricole (FIDA) et du Programme d’Adaptation de l’Agriculture Paysanne (ASAP) pour financer le coût du Projet de Développement des Filières Inclusives (PRODEFI). Dans ce cadre, il est prévu </w:t>
      </w:r>
      <w:r w:rsidRPr="00947AC9">
        <w:rPr>
          <w:rFonts w:asciiTheme="majorBidi" w:eastAsia="Times New Roman" w:hAnsiTheme="majorBidi" w:cstheme="majorBidi"/>
          <w:b/>
          <w:bCs/>
          <w:color w:val="040404"/>
          <w:sz w:val="24"/>
          <w:szCs w:val="24"/>
          <w:lang w:eastAsia="fr-FR"/>
        </w:rPr>
        <w:t xml:space="preserve">des travaux de réalisation de sites de périmètres fourragers au </w:t>
      </w:r>
      <w:proofErr w:type="spellStart"/>
      <w:r w:rsidRPr="00947AC9">
        <w:rPr>
          <w:rFonts w:asciiTheme="majorBidi" w:eastAsia="Times New Roman" w:hAnsiTheme="majorBidi" w:cstheme="majorBidi"/>
          <w:b/>
          <w:bCs/>
          <w:color w:val="040404"/>
          <w:sz w:val="24"/>
          <w:szCs w:val="24"/>
          <w:lang w:eastAsia="fr-FR"/>
        </w:rPr>
        <w:t>Brakna</w:t>
      </w:r>
      <w:proofErr w:type="spellEnd"/>
      <w:r w:rsidRPr="00947AC9">
        <w:rPr>
          <w:rFonts w:asciiTheme="majorBidi" w:eastAsia="Times New Roman" w:hAnsiTheme="majorBidi" w:cstheme="majorBidi"/>
          <w:b/>
          <w:bCs/>
          <w:color w:val="040404"/>
          <w:sz w:val="24"/>
          <w:szCs w:val="24"/>
          <w:lang w:eastAsia="fr-FR"/>
        </w:rPr>
        <w:t xml:space="preserve">, au </w:t>
      </w:r>
      <w:proofErr w:type="spellStart"/>
      <w:r w:rsidRPr="00947AC9">
        <w:rPr>
          <w:rFonts w:asciiTheme="majorBidi" w:eastAsia="Times New Roman" w:hAnsiTheme="majorBidi" w:cstheme="majorBidi"/>
          <w:b/>
          <w:bCs/>
          <w:color w:val="040404"/>
          <w:sz w:val="24"/>
          <w:szCs w:val="24"/>
          <w:lang w:eastAsia="fr-FR"/>
        </w:rPr>
        <w:t>Gorgol</w:t>
      </w:r>
      <w:proofErr w:type="spellEnd"/>
      <w:r w:rsidRPr="00947AC9">
        <w:rPr>
          <w:rFonts w:asciiTheme="majorBidi" w:eastAsia="Times New Roman" w:hAnsiTheme="majorBidi" w:cstheme="majorBidi"/>
          <w:b/>
          <w:bCs/>
          <w:color w:val="040404"/>
          <w:sz w:val="24"/>
          <w:szCs w:val="24"/>
          <w:lang w:eastAsia="fr-FR"/>
        </w:rPr>
        <w:t xml:space="preserve"> et en </w:t>
      </w:r>
      <w:proofErr w:type="spellStart"/>
      <w:r w:rsidRPr="00947AC9">
        <w:rPr>
          <w:rFonts w:asciiTheme="majorBidi" w:eastAsia="Times New Roman" w:hAnsiTheme="majorBidi" w:cstheme="majorBidi"/>
          <w:b/>
          <w:bCs/>
          <w:color w:val="040404"/>
          <w:sz w:val="24"/>
          <w:szCs w:val="24"/>
          <w:lang w:eastAsia="fr-FR"/>
        </w:rPr>
        <w:t>Assaba</w:t>
      </w:r>
      <w:proofErr w:type="spellEnd"/>
      <w:r w:rsidRPr="00947AC9">
        <w:rPr>
          <w:rFonts w:asciiTheme="majorBidi" w:eastAsia="Times New Roman" w:hAnsiTheme="majorBidi" w:cstheme="majorBidi"/>
          <w:b/>
          <w:bCs/>
          <w:color w:val="040404"/>
          <w:sz w:val="24"/>
          <w:szCs w:val="24"/>
          <w:lang w:eastAsia="fr-FR"/>
        </w:rPr>
        <w:t>, en un(01) seul lot</w:t>
      </w:r>
      <w:r w:rsidRPr="00947AC9">
        <w:rPr>
          <w:rFonts w:asciiTheme="majorBidi" w:eastAsia="Times New Roman" w:hAnsiTheme="majorBidi" w:cstheme="majorBidi"/>
          <w:color w:val="040404"/>
          <w:sz w:val="24"/>
          <w:szCs w:val="24"/>
          <w:lang w:eastAsia="fr-FR"/>
        </w:rPr>
        <w:t>.</w:t>
      </w:r>
    </w:p>
    <w:p w:rsidR="00947AC9" w:rsidRPr="00947AC9" w:rsidRDefault="00947AC9" w:rsidP="00947AC9">
      <w:pPr>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 xml:space="preserve">Le marché est d’un (01) seul lot. Le Projet de Développement de Filières Inclusives (PRODEFI) sollicite des offres sous pli fermé de la part de candidats éligibles et répondant aux qualifications requises pour exécuter les travaux de réalisation de sites de périmètres fourragers au </w:t>
      </w:r>
      <w:proofErr w:type="spellStart"/>
      <w:r w:rsidRPr="00947AC9">
        <w:rPr>
          <w:rFonts w:asciiTheme="majorBidi" w:eastAsia="Times New Roman" w:hAnsiTheme="majorBidi" w:cstheme="majorBidi"/>
          <w:color w:val="040404"/>
          <w:sz w:val="24"/>
          <w:szCs w:val="24"/>
          <w:lang w:eastAsia="fr-FR"/>
        </w:rPr>
        <w:t>Brakna</w:t>
      </w:r>
      <w:proofErr w:type="spellEnd"/>
      <w:r w:rsidRPr="00947AC9">
        <w:rPr>
          <w:rFonts w:asciiTheme="majorBidi" w:eastAsia="Times New Roman" w:hAnsiTheme="majorBidi" w:cstheme="majorBidi"/>
          <w:color w:val="040404"/>
          <w:sz w:val="24"/>
          <w:szCs w:val="24"/>
          <w:lang w:eastAsia="fr-FR"/>
        </w:rPr>
        <w:t xml:space="preserve">, au </w:t>
      </w:r>
      <w:proofErr w:type="spellStart"/>
      <w:r w:rsidRPr="00947AC9">
        <w:rPr>
          <w:rFonts w:asciiTheme="majorBidi" w:eastAsia="Times New Roman" w:hAnsiTheme="majorBidi" w:cstheme="majorBidi"/>
          <w:color w:val="040404"/>
          <w:sz w:val="24"/>
          <w:szCs w:val="24"/>
          <w:lang w:eastAsia="fr-FR"/>
        </w:rPr>
        <w:t>Gorgol</w:t>
      </w:r>
      <w:proofErr w:type="spellEnd"/>
      <w:r w:rsidRPr="00947AC9">
        <w:rPr>
          <w:rFonts w:asciiTheme="majorBidi" w:eastAsia="Times New Roman" w:hAnsiTheme="majorBidi" w:cstheme="majorBidi"/>
          <w:color w:val="040404"/>
          <w:sz w:val="24"/>
          <w:szCs w:val="24"/>
          <w:lang w:eastAsia="fr-FR"/>
        </w:rPr>
        <w:t xml:space="preserve"> et en </w:t>
      </w:r>
      <w:proofErr w:type="spellStart"/>
      <w:r w:rsidRPr="00947AC9">
        <w:rPr>
          <w:rFonts w:asciiTheme="majorBidi" w:eastAsia="Times New Roman" w:hAnsiTheme="majorBidi" w:cstheme="majorBidi"/>
          <w:color w:val="040404"/>
          <w:sz w:val="24"/>
          <w:szCs w:val="24"/>
          <w:lang w:eastAsia="fr-FR"/>
        </w:rPr>
        <w:t>Assaba</w:t>
      </w:r>
      <w:proofErr w:type="spellEnd"/>
      <w:r w:rsidRPr="00947AC9">
        <w:rPr>
          <w:rFonts w:asciiTheme="majorBidi" w:eastAsia="Times New Roman" w:hAnsiTheme="majorBidi" w:cstheme="majorBidi"/>
          <w:color w:val="040404"/>
          <w:sz w:val="24"/>
          <w:szCs w:val="24"/>
          <w:lang w:eastAsia="fr-FR"/>
        </w:rPr>
        <w:t>, en un(01) seul lot.</w:t>
      </w:r>
    </w:p>
    <w:p w:rsidR="00947AC9" w:rsidRPr="00947AC9" w:rsidRDefault="00947AC9" w:rsidP="00947AC9">
      <w:pPr>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 présent appel d’offres est un Appel d’Offres National Ouvert</w:t>
      </w:r>
      <w:r w:rsidRPr="00947AC9">
        <w:rPr>
          <w:rFonts w:asciiTheme="majorBidi" w:eastAsia="Times New Roman" w:hAnsiTheme="majorBidi" w:cstheme="majorBidi"/>
          <w:i/>
          <w:iCs/>
          <w:color w:val="040404"/>
          <w:sz w:val="24"/>
          <w:szCs w:val="24"/>
          <w:lang w:eastAsia="fr-FR"/>
        </w:rPr>
        <w:t>.</w:t>
      </w:r>
    </w:p>
    <w:p w:rsidR="00947AC9" w:rsidRPr="00947AC9" w:rsidRDefault="00947AC9" w:rsidP="00947AC9">
      <w:pPr>
        <w:numPr>
          <w:ilvl w:val="0"/>
          <w:numId w:val="7"/>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 présent appel d'offres est ouvert à toutes les entreprises remplissant les conditions définies dans le Dossier d'Appel d'Offres.</w:t>
      </w:r>
    </w:p>
    <w:p w:rsidR="00947AC9" w:rsidRPr="00947AC9" w:rsidRDefault="00947AC9" w:rsidP="00947AC9">
      <w:pPr>
        <w:numPr>
          <w:ilvl w:val="0"/>
          <w:numId w:val="8"/>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 xml:space="preserve">Les entreprises intéressées peuvent obtenir des informations auprès du Projet de Développement de Filières Inclusives (PRODEFI) et prendre connaissance des documents d’Appel d’offres à l’adresse mentionnée ci-après : Unité de Gestion du Projet PRODEFI, Ilot B, Lot n° 223 – </w:t>
      </w:r>
      <w:proofErr w:type="spellStart"/>
      <w:r w:rsidRPr="00947AC9">
        <w:rPr>
          <w:rFonts w:asciiTheme="majorBidi" w:eastAsia="Times New Roman" w:hAnsiTheme="majorBidi" w:cstheme="majorBidi"/>
          <w:color w:val="040404"/>
          <w:sz w:val="24"/>
          <w:szCs w:val="24"/>
          <w:lang w:eastAsia="fr-FR"/>
        </w:rPr>
        <w:t>Tevragh-Zeina</w:t>
      </w:r>
      <w:proofErr w:type="spellEnd"/>
      <w:r w:rsidRPr="00947AC9">
        <w:rPr>
          <w:rFonts w:asciiTheme="majorBidi" w:eastAsia="Times New Roman" w:hAnsiTheme="majorBidi" w:cstheme="majorBidi"/>
          <w:color w:val="040404"/>
          <w:sz w:val="24"/>
          <w:szCs w:val="24"/>
          <w:lang w:eastAsia="fr-FR"/>
        </w:rPr>
        <w:t>, Nouakchott - Mauritanie, Tél. : 25 90 07 60, Email : </w:t>
      </w:r>
      <w:hyperlink r:id="rId6" w:history="1">
        <w:r w:rsidRPr="00947AC9">
          <w:rPr>
            <w:rFonts w:asciiTheme="majorBidi" w:eastAsia="Times New Roman" w:hAnsiTheme="majorBidi" w:cstheme="majorBidi"/>
            <w:color w:val="0563C1"/>
            <w:sz w:val="24"/>
            <w:szCs w:val="24"/>
            <w:u w:val="single"/>
            <w:lang w:eastAsia="fr-FR"/>
          </w:rPr>
          <w:t>ugp@prodefi.mr</w:t>
        </w:r>
      </w:hyperlink>
      <w:r w:rsidRPr="00947AC9">
        <w:rPr>
          <w:rFonts w:asciiTheme="majorBidi" w:eastAsia="Times New Roman" w:hAnsiTheme="majorBidi" w:cstheme="majorBidi"/>
          <w:color w:val="040404"/>
          <w:sz w:val="24"/>
          <w:szCs w:val="24"/>
          <w:lang w:eastAsia="fr-FR"/>
        </w:rPr>
        <w:t>, de 9 h à 16 h du Lundi au Jeudi et de 9h à 11h le vendredi.</w:t>
      </w:r>
    </w:p>
    <w:p w:rsidR="00947AC9" w:rsidRPr="00947AC9" w:rsidRDefault="00947AC9" w:rsidP="00947AC9">
      <w:pPr>
        <w:numPr>
          <w:ilvl w:val="0"/>
          <w:numId w:val="9"/>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Les exigences en matière de qualification sont :</w:t>
      </w:r>
    </w:p>
    <w:p w:rsidR="00947AC9" w:rsidRPr="00947AC9" w:rsidRDefault="00947AC9" w:rsidP="00947AC9">
      <w:pPr>
        <w:numPr>
          <w:ilvl w:val="0"/>
          <w:numId w:val="10"/>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1"/>
          <w:numId w:val="10"/>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2"/>
          <w:numId w:val="10"/>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3"/>
          <w:numId w:val="10"/>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4"/>
          <w:numId w:val="10"/>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 xml:space="preserve">L'entreprise doit prouver par des attestations de service fait ou attestation de bonne exécution qu’elle a déjà réalisé au cours des cinq (05) dernières années au moins </w:t>
      </w:r>
      <w:r w:rsidRPr="00947AC9">
        <w:rPr>
          <w:rFonts w:asciiTheme="majorBidi" w:eastAsia="Times New Roman" w:hAnsiTheme="majorBidi" w:cstheme="majorBidi"/>
          <w:color w:val="040404"/>
          <w:sz w:val="24"/>
          <w:szCs w:val="24"/>
          <w:lang w:eastAsia="fr-FR"/>
        </w:rPr>
        <w:lastRenderedPageBreak/>
        <w:t xml:space="preserve">deux (02) marchés similaires pour une valeur minimale de  trois millions trois cent mille ouguiyas (3 300 000 MRU) . La similitude portera sur la nature et le volume. Ces attestations de bonne exécution devront faire une description détaillée de l’objet de ces marchés, le nom et les références du maître d’ouvrage, le montant total du marché, le montant attribué à l’entreprise en cas de groupement et la période d’exécution. L’omission de ces justificatifs conduira </w:t>
      </w:r>
      <w:proofErr w:type="gramStart"/>
      <w:r w:rsidRPr="00947AC9">
        <w:rPr>
          <w:rFonts w:asciiTheme="majorBidi" w:eastAsia="Times New Roman" w:hAnsiTheme="majorBidi" w:cstheme="majorBidi"/>
          <w:color w:val="040404"/>
          <w:sz w:val="24"/>
          <w:szCs w:val="24"/>
          <w:lang w:eastAsia="fr-FR"/>
        </w:rPr>
        <w:t>à la</w:t>
      </w:r>
      <w:proofErr w:type="gramEnd"/>
      <w:r w:rsidRPr="00947AC9">
        <w:rPr>
          <w:rFonts w:asciiTheme="majorBidi" w:eastAsia="Times New Roman" w:hAnsiTheme="majorBidi" w:cstheme="majorBidi"/>
          <w:color w:val="040404"/>
          <w:sz w:val="24"/>
          <w:szCs w:val="24"/>
          <w:lang w:eastAsia="fr-FR"/>
        </w:rPr>
        <w:t xml:space="preserve"> non considération de l’expérience de l’entreprise.</w:t>
      </w:r>
    </w:p>
    <w:p w:rsidR="00947AC9" w:rsidRPr="00947AC9" w:rsidRDefault="00947AC9" w:rsidP="00947AC9">
      <w:pPr>
        <w:numPr>
          <w:ilvl w:val="0"/>
          <w:numId w:val="11"/>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1"/>
          <w:numId w:val="11"/>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2"/>
          <w:numId w:val="11"/>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3"/>
          <w:numId w:val="11"/>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4"/>
          <w:numId w:val="11"/>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L’entrepreneur doit justifier qu’il dispose du matériel minimal suivant au moment de la soumission :</w:t>
      </w:r>
    </w:p>
    <w:tbl>
      <w:tblPr>
        <w:tblW w:w="8880" w:type="dxa"/>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104"/>
        <w:gridCol w:w="4462"/>
        <w:gridCol w:w="3314"/>
      </w:tblGrid>
      <w:tr w:rsidR="00947AC9" w:rsidRPr="00947AC9" w:rsidTr="00947AC9">
        <w:trPr>
          <w:trHeight w:val="135"/>
        </w:trPr>
        <w:tc>
          <w:tcPr>
            <w:tcW w:w="6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b/>
                <w:bCs/>
                <w:i/>
                <w:iCs/>
                <w:color w:val="040404"/>
                <w:sz w:val="24"/>
                <w:szCs w:val="24"/>
                <w:lang w:eastAsia="fr-FR"/>
              </w:rPr>
              <w:t>No.</w:t>
            </w:r>
          </w:p>
        </w:tc>
        <w:tc>
          <w:tcPr>
            <w:tcW w:w="4725" w:type="dxa"/>
            <w:tcBorders>
              <w:top w:val="single" w:sz="6" w:space="0" w:color="000000"/>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b/>
                <w:bCs/>
                <w:i/>
                <w:iCs/>
                <w:color w:val="040404"/>
                <w:sz w:val="24"/>
                <w:szCs w:val="24"/>
                <w:lang w:eastAsia="fr-FR"/>
              </w:rPr>
              <w:t>Type et caractéristiques du matériel</w:t>
            </w:r>
          </w:p>
        </w:tc>
        <w:tc>
          <w:tcPr>
            <w:tcW w:w="3510" w:type="dxa"/>
            <w:tcBorders>
              <w:top w:val="single" w:sz="6" w:space="0" w:color="000000"/>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b/>
                <w:bCs/>
                <w:i/>
                <w:iCs/>
                <w:color w:val="040404"/>
                <w:sz w:val="24"/>
                <w:szCs w:val="24"/>
                <w:lang w:eastAsia="fr-FR"/>
              </w:rPr>
              <w:t>Nombre minimum requis</w:t>
            </w:r>
          </w:p>
        </w:tc>
      </w:tr>
      <w:tr w:rsidR="00947AC9" w:rsidRPr="00947AC9" w:rsidTr="00947AC9">
        <w:trPr>
          <w:trHeight w:val="165"/>
        </w:trPr>
        <w:tc>
          <w:tcPr>
            <w:tcW w:w="645"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472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Véhicule   tout terrain</w:t>
            </w:r>
          </w:p>
        </w:tc>
        <w:tc>
          <w:tcPr>
            <w:tcW w:w="351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r>
      <w:tr w:rsidR="00947AC9" w:rsidRPr="00947AC9" w:rsidTr="00947AC9">
        <w:trPr>
          <w:trHeight w:val="30"/>
        </w:trPr>
        <w:tc>
          <w:tcPr>
            <w:tcW w:w="645"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472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Niveleuse</w:t>
            </w:r>
          </w:p>
        </w:tc>
        <w:tc>
          <w:tcPr>
            <w:tcW w:w="351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r>
      <w:tr w:rsidR="00947AC9" w:rsidRPr="00947AC9" w:rsidTr="00947AC9">
        <w:trPr>
          <w:trHeight w:val="30"/>
        </w:trPr>
        <w:tc>
          <w:tcPr>
            <w:tcW w:w="645"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472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Camion benne (≥10T)</w:t>
            </w:r>
          </w:p>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351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r>
      <w:tr w:rsidR="00947AC9" w:rsidRPr="00947AC9" w:rsidTr="00947AC9">
        <w:trPr>
          <w:trHeight w:val="300"/>
        </w:trPr>
        <w:tc>
          <w:tcPr>
            <w:tcW w:w="645"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472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 xml:space="preserve">Groupe électrogène au moins 100 </w:t>
            </w:r>
            <w:proofErr w:type="spellStart"/>
            <w:r w:rsidRPr="00947AC9">
              <w:rPr>
                <w:rFonts w:asciiTheme="majorBidi" w:eastAsia="Times New Roman" w:hAnsiTheme="majorBidi" w:cstheme="majorBidi"/>
                <w:i/>
                <w:iCs/>
                <w:color w:val="040404"/>
                <w:sz w:val="24"/>
                <w:szCs w:val="24"/>
                <w:lang w:eastAsia="fr-FR"/>
              </w:rPr>
              <w:t>kva</w:t>
            </w:r>
            <w:proofErr w:type="spellEnd"/>
            <w:r w:rsidRPr="00947AC9">
              <w:rPr>
                <w:rFonts w:asciiTheme="majorBidi" w:eastAsia="Times New Roman" w:hAnsiTheme="majorBidi" w:cstheme="majorBidi"/>
                <w:i/>
                <w:iCs/>
                <w:color w:val="040404"/>
                <w:sz w:val="24"/>
                <w:szCs w:val="24"/>
                <w:lang w:eastAsia="fr-FR"/>
              </w:rPr>
              <w:t xml:space="preserve"> par groupe</w:t>
            </w:r>
          </w:p>
        </w:tc>
        <w:tc>
          <w:tcPr>
            <w:tcW w:w="351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r>
      <w:tr w:rsidR="00947AC9" w:rsidRPr="00947AC9" w:rsidTr="00947AC9">
        <w:trPr>
          <w:trHeight w:val="300"/>
        </w:trPr>
        <w:tc>
          <w:tcPr>
            <w:tcW w:w="645"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472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Caisse à outils plomberie</w:t>
            </w:r>
          </w:p>
        </w:tc>
        <w:tc>
          <w:tcPr>
            <w:tcW w:w="351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r>
      <w:tr w:rsidR="00947AC9" w:rsidRPr="00947AC9" w:rsidTr="00947AC9">
        <w:trPr>
          <w:trHeight w:val="300"/>
        </w:trPr>
        <w:tc>
          <w:tcPr>
            <w:tcW w:w="645"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tc>
        <w:tc>
          <w:tcPr>
            <w:tcW w:w="472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Topographie (station totale, niveau, mires…)</w:t>
            </w:r>
          </w:p>
        </w:tc>
        <w:tc>
          <w:tcPr>
            <w:tcW w:w="351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r>
    </w:tbl>
    <w:p w:rsidR="00947AC9" w:rsidRPr="00947AC9" w:rsidRDefault="00947AC9" w:rsidP="00947AC9">
      <w:pPr>
        <w:shd w:val="clear" w:color="auto" w:fill="FFFFFF"/>
        <w:spacing w:after="100" w:afterAutospacing="1" w:line="240" w:lineRule="auto"/>
        <w:ind w:left="720"/>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0"/>
          <w:numId w:val="12"/>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1"/>
          <w:numId w:val="12"/>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2"/>
          <w:numId w:val="12"/>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3"/>
          <w:numId w:val="12"/>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4"/>
          <w:numId w:val="12"/>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L’entrepreneur doit proposer le personnel clé suivant :</w:t>
      </w:r>
    </w:p>
    <w:tbl>
      <w:tblPr>
        <w:tblW w:w="919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91"/>
        <w:gridCol w:w="3048"/>
        <w:gridCol w:w="2546"/>
        <w:gridCol w:w="2510"/>
      </w:tblGrid>
      <w:tr w:rsidR="00947AC9" w:rsidRPr="00947AC9" w:rsidTr="00947AC9">
        <w:trPr>
          <w:trHeight w:val="570"/>
          <w:jc w:val="center"/>
        </w:trPr>
        <w:tc>
          <w:tcPr>
            <w:tcW w:w="540" w:type="dxa"/>
            <w:tcBorders>
              <w:top w:val="single" w:sz="12" w:space="0" w:color="000000"/>
              <w:left w:val="single" w:sz="12" w:space="0" w:color="000000"/>
              <w:bottom w:val="single" w:sz="12" w:space="0" w:color="000000"/>
              <w:right w:val="single" w:sz="12"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No.</w:t>
            </w:r>
          </w:p>
        </w:tc>
        <w:tc>
          <w:tcPr>
            <w:tcW w:w="3270" w:type="dxa"/>
            <w:tcBorders>
              <w:top w:val="single" w:sz="12" w:space="0" w:color="000000"/>
              <w:left w:val="nil"/>
              <w:bottom w:val="single" w:sz="12" w:space="0" w:color="000000"/>
              <w:right w:val="single" w:sz="12"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Position</w:t>
            </w:r>
          </w:p>
        </w:tc>
        <w:tc>
          <w:tcPr>
            <w:tcW w:w="2700" w:type="dxa"/>
            <w:tcBorders>
              <w:top w:val="single" w:sz="12" w:space="0" w:color="000000"/>
              <w:left w:val="nil"/>
              <w:bottom w:val="single" w:sz="12" w:space="0" w:color="000000"/>
              <w:right w:val="single" w:sz="12"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Expérience globale en  travaux (années)</w:t>
            </w:r>
          </w:p>
        </w:tc>
        <w:tc>
          <w:tcPr>
            <w:tcW w:w="2685" w:type="dxa"/>
            <w:tcBorders>
              <w:top w:val="single" w:sz="12" w:space="0" w:color="000000"/>
              <w:left w:val="nil"/>
              <w:bottom w:val="single" w:sz="12" w:space="0" w:color="000000"/>
              <w:right w:val="single" w:sz="12" w:space="0" w:color="000000"/>
            </w:tcBorders>
            <w:shd w:val="clear" w:color="auto" w:fill="FFFFFF"/>
            <w:hideMark/>
          </w:tcPr>
          <w:p w:rsidR="00947AC9" w:rsidRPr="00947AC9" w:rsidRDefault="00947AC9" w:rsidP="00947AC9">
            <w:pPr>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Expérience dans des</w:t>
            </w:r>
          </w:p>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travaux similaires (années)</w:t>
            </w:r>
          </w:p>
        </w:tc>
      </w:tr>
      <w:tr w:rsidR="00947AC9" w:rsidRPr="00947AC9" w:rsidTr="00947AC9">
        <w:trPr>
          <w:jc w:val="center"/>
        </w:trPr>
        <w:tc>
          <w:tcPr>
            <w:tcW w:w="540"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w:t>
            </w:r>
          </w:p>
        </w:tc>
        <w:tc>
          <w:tcPr>
            <w:tcW w:w="327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01 Directeur des travaux (Ingénieur Bac+4 au moins en Génie rural, Génie Civil ou équivalent)</w:t>
            </w:r>
          </w:p>
        </w:tc>
        <w:tc>
          <w:tcPr>
            <w:tcW w:w="270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10</w:t>
            </w:r>
          </w:p>
        </w:tc>
        <w:tc>
          <w:tcPr>
            <w:tcW w:w="268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10</w:t>
            </w:r>
          </w:p>
        </w:tc>
      </w:tr>
      <w:tr w:rsidR="00947AC9" w:rsidRPr="00947AC9" w:rsidTr="00947AC9">
        <w:trPr>
          <w:jc w:val="center"/>
        </w:trPr>
        <w:tc>
          <w:tcPr>
            <w:tcW w:w="540"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lastRenderedPageBreak/>
              <w:t>2</w:t>
            </w:r>
          </w:p>
        </w:tc>
        <w:tc>
          <w:tcPr>
            <w:tcW w:w="327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01 Conducteur de travaux de Génie civil</w:t>
            </w:r>
          </w:p>
        </w:tc>
        <w:tc>
          <w:tcPr>
            <w:tcW w:w="270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10</w:t>
            </w:r>
          </w:p>
        </w:tc>
        <w:tc>
          <w:tcPr>
            <w:tcW w:w="268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10</w:t>
            </w:r>
          </w:p>
        </w:tc>
      </w:tr>
      <w:tr w:rsidR="00947AC9" w:rsidRPr="00947AC9" w:rsidTr="00947AC9">
        <w:trPr>
          <w:jc w:val="center"/>
        </w:trPr>
        <w:tc>
          <w:tcPr>
            <w:tcW w:w="540" w:type="dxa"/>
            <w:tcBorders>
              <w:top w:val="nil"/>
              <w:left w:val="single" w:sz="6" w:space="0" w:color="000000"/>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3</w:t>
            </w:r>
          </w:p>
        </w:tc>
        <w:tc>
          <w:tcPr>
            <w:tcW w:w="327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 topographe</w:t>
            </w:r>
          </w:p>
        </w:tc>
        <w:tc>
          <w:tcPr>
            <w:tcW w:w="270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10</w:t>
            </w:r>
          </w:p>
        </w:tc>
        <w:tc>
          <w:tcPr>
            <w:tcW w:w="268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10</w:t>
            </w:r>
          </w:p>
        </w:tc>
      </w:tr>
      <w:tr w:rsidR="00947AC9" w:rsidRPr="00947AC9" w:rsidTr="00947AC9">
        <w:trPr>
          <w:jc w:val="center"/>
        </w:trPr>
        <w:tc>
          <w:tcPr>
            <w:tcW w:w="540" w:type="dxa"/>
            <w:tcBorders>
              <w:top w:val="nil"/>
              <w:left w:val="single" w:sz="6" w:space="0" w:color="000000"/>
              <w:bottom w:val="single" w:sz="6" w:space="0" w:color="000000"/>
              <w:right w:val="single" w:sz="6"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4</w:t>
            </w:r>
          </w:p>
        </w:tc>
        <w:tc>
          <w:tcPr>
            <w:tcW w:w="3270" w:type="dxa"/>
            <w:tcBorders>
              <w:top w:val="nil"/>
              <w:left w:val="nil"/>
              <w:bottom w:val="single" w:sz="6" w:space="0" w:color="000000"/>
              <w:right w:val="single" w:sz="6"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Plombier expérimenté dans l'installation de réseaux d'irrigation</w:t>
            </w:r>
          </w:p>
        </w:tc>
        <w:tc>
          <w:tcPr>
            <w:tcW w:w="270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5</w:t>
            </w:r>
          </w:p>
        </w:tc>
        <w:tc>
          <w:tcPr>
            <w:tcW w:w="268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5</w:t>
            </w:r>
          </w:p>
        </w:tc>
      </w:tr>
      <w:tr w:rsidR="00947AC9" w:rsidRPr="00947AC9" w:rsidTr="00947AC9">
        <w:trPr>
          <w:jc w:val="center"/>
        </w:trPr>
        <w:tc>
          <w:tcPr>
            <w:tcW w:w="540" w:type="dxa"/>
            <w:tcBorders>
              <w:top w:val="nil"/>
              <w:left w:val="single" w:sz="6" w:space="0" w:color="000000"/>
              <w:bottom w:val="single" w:sz="6" w:space="0" w:color="000000"/>
              <w:right w:val="single" w:sz="6"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5</w:t>
            </w:r>
          </w:p>
        </w:tc>
        <w:tc>
          <w:tcPr>
            <w:tcW w:w="3270" w:type="dxa"/>
            <w:tcBorders>
              <w:top w:val="nil"/>
              <w:left w:val="nil"/>
              <w:bottom w:val="single" w:sz="6" w:space="0" w:color="000000"/>
              <w:right w:val="single" w:sz="6" w:space="0" w:color="000000"/>
            </w:tcBorders>
            <w:shd w:val="clear" w:color="auto" w:fill="FFFFFF"/>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Personnel d’appui nécessaire à l’exécution des travaux d'installation de pompes et de réseaux</w:t>
            </w:r>
          </w:p>
        </w:tc>
        <w:tc>
          <w:tcPr>
            <w:tcW w:w="2700"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5</w:t>
            </w:r>
          </w:p>
        </w:tc>
        <w:tc>
          <w:tcPr>
            <w:tcW w:w="2685" w:type="dxa"/>
            <w:tcBorders>
              <w:top w:val="nil"/>
              <w:left w:val="nil"/>
              <w:bottom w:val="single" w:sz="6" w:space="0" w:color="000000"/>
              <w:right w:val="single" w:sz="6" w:space="0" w:color="000000"/>
            </w:tcBorders>
            <w:shd w:val="clear" w:color="auto" w:fill="FFFFFF"/>
            <w:vAlign w:val="center"/>
            <w:hideMark/>
          </w:tcPr>
          <w:p w:rsidR="00947AC9" w:rsidRPr="00947AC9" w:rsidRDefault="00947AC9" w:rsidP="00947AC9">
            <w:pPr>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3</w:t>
            </w:r>
          </w:p>
        </w:tc>
      </w:tr>
    </w:tbl>
    <w:p w:rsidR="00947AC9" w:rsidRPr="00947AC9" w:rsidRDefault="00947AC9" w:rsidP="00947AC9">
      <w:pPr>
        <w:shd w:val="clear" w:color="auto" w:fill="FFFFFF"/>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br/>
      </w:r>
    </w:p>
    <w:p w:rsidR="00947AC9" w:rsidRPr="00947AC9" w:rsidRDefault="00947AC9" w:rsidP="00947AC9">
      <w:pPr>
        <w:shd w:val="clear" w:color="auto" w:fill="FFFFFF"/>
        <w:spacing w:after="100" w:afterAutospacing="1" w:line="240" w:lineRule="auto"/>
        <w:ind w:left="720"/>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Les CV doivent être fournis dans l’offre technique avec un engagement ferme, de l’Entrepreneur, que le personnel proposé remplira la mission en cas d’attribution du marché.</w:t>
      </w:r>
    </w:p>
    <w:p w:rsidR="00947AC9" w:rsidRPr="00947AC9" w:rsidRDefault="00947AC9" w:rsidP="00947AC9">
      <w:pPr>
        <w:numPr>
          <w:ilvl w:val="0"/>
          <w:numId w:val="13"/>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1"/>
          <w:numId w:val="13"/>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2"/>
          <w:numId w:val="13"/>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3"/>
          <w:numId w:val="13"/>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p>
    <w:p w:rsidR="00947AC9" w:rsidRPr="00947AC9" w:rsidRDefault="00947AC9" w:rsidP="00947AC9">
      <w:pPr>
        <w:numPr>
          <w:ilvl w:val="4"/>
          <w:numId w:val="13"/>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i/>
          <w:iCs/>
          <w:color w:val="040404"/>
          <w:sz w:val="24"/>
          <w:szCs w:val="24"/>
          <w:lang w:eastAsia="fr-FR"/>
        </w:rPr>
        <w:t>Fournir des attestations d’autofinancement d’un montant d’un million deux cent mille ouguiyas (1 200 000 MRU) délivrées par une banque agréée et établie en Mauritanie.</w:t>
      </w:r>
    </w:p>
    <w:p w:rsidR="00947AC9" w:rsidRPr="00947AC9" w:rsidRDefault="00947AC9" w:rsidP="00947AC9">
      <w:pPr>
        <w:numPr>
          <w:ilvl w:val="0"/>
          <w:numId w:val="14"/>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Les candidats intéressés peuvent obtenir un dossier d’Appel d’offres complet à l’adresse mentionnée ci-après </w:t>
      </w:r>
      <w:r w:rsidRPr="00947AC9">
        <w:rPr>
          <w:rFonts w:asciiTheme="majorBidi" w:eastAsia="Times New Roman" w:hAnsiTheme="majorBidi" w:cstheme="majorBidi"/>
          <w:color w:val="FF0000"/>
          <w:sz w:val="24"/>
          <w:szCs w:val="24"/>
          <w:lang w:eastAsia="fr-FR"/>
        </w:rPr>
        <w:t>: </w:t>
      </w:r>
      <w:r w:rsidRPr="00947AC9">
        <w:rPr>
          <w:rFonts w:asciiTheme="majorBidi" w:eastAsia="Times New Roman" w:hAnsiTheme="majorBidi" w:cstheme="majorBidi"/>
          <w:color w:val="040404"/>
          <w:sz w:val="24"/>
          <w:szCs w:val="24"/>
          <w:lang w:eastAsia="fr-FR"/>
        </w:rPr>
        <w:t xml:space="preserve">Unité de Gestion du Projet PRODEFI, Ilot B, Lot n° 223 – </w:t>
      </w:r>
      <w:proofErr w:type="spellStart"/>
      <w:r w:rsidRPr="00947AC9">
        <w:rPr>
          <w:rFonts w:asciiTheme="majorBidi" w:eastAsia="Times New Roman" w:hAnsiTheme="majorBidi" w:cstheme="majorBidi"/>
          <w:color w:val="040404"/>
          <w:sz w:val="24"/>
          <w:szCs w:val="24"/>
          <w:lang w:eastAsia="fr-FR"/>
        </w:rPr>
        <w:t>Tevragh-Zeina</w:t>
      </w:r>
      <w:proofErr w:type="spellEnd"/>
      <w:r w:rsidRPr="00947AC9">
        <w:rPr>
          <w:rFonts w:asciiTheme="majorBidi" w:eastAsia="Times New Roman" w:hAnsiTheme="majorBidi" w:cstheme="majorBidi"/>
          <w:color w:val="040404"/>
          <w:sz w:val="24"/>
          <w:szCs w:val="24"/>
          <w:lang w:eastAsia="fr-FR"/>
        </w:rPr>
        <w:t>, Nouakchott - Mauritanie, Tél. : 25 90 07 60, Email </w:t>
      </w:r>
      <w:r w:rsidRPr="00947AC9">
        <w:rPr>
          <w:rFonts w:asciiTheme="majorBidi" w:eastAsia="Times New Roman" w:hAnsiTheme="majorBidi" w:cstheme="majorBidi"/>
          <w:color w:val="FF0000"/>
          <w:sz w:val="24"/>
          <w:szCs w:val="24"/>
          <w:lang w:eastAsia="fr-FR"/>
        </w:rPr>
        <w:t>: </w:t>
      </w:r>
      <w:hyperlink r:id="rId7" w:history="1">
        <w:r w:rsidRPr="00947AC9">
          <w:rPr>
            <w:rFonts w:asciiTheme="majorBidi" w:eastAsia="Times New Roman" w:hAnsiTheme="majorBidi" w:cstheme="majorBidi"/>
            <w:color w:val="0563C1"/>
            <w:sz w:val="24"/>
            <w:szCs w:val="24"/>
            <w:u w:val="single"/>
            <w:lang w:eastAsia="fr-FR"/>
          </w:rPr>
          <w:t>ugp@prodefi.mr</w:t>
        </w:r>
      </w:hyperlink>
      <w:r w:rsidRPr="00947AC9">
        <w:rPr>
          <w:rFonts w:asciiTheme="majorBidi" w:eastAsia="Times New Roman" w:hAnsiTheme="majorBidi" w:cstheme="majorBidi"/>
          <w:color w:val="040404"/>
          <w:sz w:val="24"/>
          <w:szCs w:val="24"/>
          <w:lang w:eastAsia="fr-FR"/>
        </w:rPr>
        <w:t>, à compter du 22/12/2022 contre le paiement, non remboursable, au </w:t>
      </w:r>
      <w:r w:rsidRPr="00947AC9">
        <w:rPr>
          <w:rFonts w:asciiTheme="majorBidi" w:eastAsia="Times New Roman" w:hAnsiTheme="majorBidi" w:cstheme="majorBidi"/>
          <w:b/>
          <w:bCs/>
          <w:color w:val="040404"/>
          <w:sz w:val="24"/>
          <w:szCs w:val="24"/>
          <w:lang w:eastAsia="fr-FR"/>
        </w:rPr>
        <w:t>Trésor Public exclusivement</w:t>
      </w:r>
      <w:r w:rsidRPr="00947AC9">
        <w:rPr>
          <w:rFonts w:asciiTheme="majorBidi" w:eastAsia="Times New Roman" w:hAnsiTheme="majorBidi" w:cstheme="majorBidi"/>
          <w:color w:val="040404"/>
          <w:sz w:val="24"/>
          <w:szCs w:val="24"/>
          <w:lang w:eastAsia="fr-FR"/>
        </w:rPr>
        <w:t>, de trois mille Ouguiyas (3 000 MRU).  Le document d’Appel d’offres sera immédiatement remis aux candidats intéressés ou adressé à leur frais en utilisant le mode d’acheminement qu’ils auraient choisis.</w:t>
      </w:r>
    </w:p>
    <w:p w:rsidR="00947AC9" w:rsidRPr="00947AC9" w:rsidRDefault="00947AC9" w:rsidP="00947AC9">
      <w:pPr>
        <w:numPr>
          <w:ilvl w:val="0"/>
          <w:numId w:val="15"/>
        </w:num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Les offres devront être déposées sous pli fermé à l’adresse indiquée dans le DAO au plus tard le 12</w:t>
      </w:r>
      <w:r w:rsidRPr="00947AC9">
        <w:rPr>
          <w:rFonts w:asciiTheme="majorBidi" w:eastAsia="Times New Roman" w:hAnsiTheme="majorBidi" w:cstheme="majorBidi"/>
          <w:color w:val="000000"/>
          <w:sz w:val="24"/>
          <w:szCs w:val="24"/>
          <w:lang w:eastAsia="fr-FR"/>
        </w:rPr>
        <w:t>/01/2023 à 12 H : 00 mn </w:t>
      </w:r>
      <w:r w:rsidRPr="00947AC9">
        <w:rPr>
          <w:rFonts w:asciiTheme="majorBidi" w:eastAsia="Times New Roman" w:hAnsiTheme="majorBidi" w:cstheme="majorBidi"/>
          <w:color w:val="040404"/>
          <w:sz w:val="24"/>
          <w:szCs w:val="24"/>
          <w:lang w:eastAsia="fr-FR"/>
        </w:rPr>
        <w:t>TU. Les offres qui ne parviendront pas à l’heure et date ci-dessus indiquées, seront rejetées et retournées aux frais des soumissionnaires concernés sans être ouvertes. Les offres seront ouvertes, en présence des représentants des Soumissionnaires qui désirent assister à l’ouverture des plis le </w:t>
      </w:r>
      <w:r w:rsidRPr="00947AC9">
        <w:rPr>
          <w:rFonts w:asciiTheme="majorBidi" w:eastAsia="Times New Roman" w:hAnsiTheme="majorBidi" w:cstheme="majorBidi"/>
          <w:color w:val="000000"/>
          <w:sz w:val="24"/>
          <w:szCs w:val="24"/>
          <w:lang w:eastAsia="fr-FR"/>
        </w:rPr>
        <w:t>12/01/2023 à 12H : 30 mn,</w:t>
      </w:r>
      <w:r w:rsidRPr="00947AC9">
        <w:rPr>
          <w:rFonts w:asciiTheme="majorBidi" w:eastAsia="Times New Roman" w:hAnsiTheme="majorBidi" w:cstheme="majorBidi"/>
          <w:color w:val="040404"/>
          <w:sz w:val="24"/>
          <w:szCs w:val="24"/>
          <w:lang w:eastAsia="fr-FR"/>
        </w:rPr>
        <w:t> à l’adresse : « </w:t>
      </w:r>
      <w:r w:rsidRPr="00947AC9">
        <w:rPr>
          <w:rFonts w:asciiTheme="majorBidi" w:eastAsia="Times New Roman" w:hAnsiTheme="majorBidi" w:cstheme="majorBidi"/>
          <w:b/>
          <w:bCs/>
          <w:color w:val="040404"/>
          <w:sz w:val="24"/>
          <w:szCs w:val="24"/>
          <w:lang w:eastAsia="fr-FR"/>
        </w:rPr>
        <w:t xml:space="preserve">La Commission de Passation des Marchés Publics du Ministère de l’Agriculture, Avenue Moctar </w:t>
      </w:r>
      <w:proofErr w:type="spellStart"/>
      <w:r w:rsidRPr="00947AC9">
        <w:rPr>
          <w:rFonts w:asciiTheme="majorBidi" w:eastAsia="Times New Roman" w:hAnsiTheme="majorBidi" w:cstheme="majorBidi"/>
          <w:b/>
          <w:bCs/>
          <w:color w:val="040404"/>
          <w:sz w:val="24"/>
          <w:szCs w:val="24"/>
          <w:lang w:eastAsia="fr-FR"/>
        </w:rPr>
        <w:t>Ould</w:t>
      </w:r>
      <w:proofErr w:type="spellEnd"/>
      <w:r w:rsidRPr="00947AC9">
        <w:rPr>
          <w:rFonts w:asciiTheme="majorBidi" w:eastAsia="Times New Roman" w:hAnsiTheme="majorBidi" w:cstheme="majorBidi"/>
          <w:b/>
          <w:bCs/>
          <w:color w:val="040404"/>
          <w:sz w:val="24"/>
          <w:szCs w:val="24"/>
          <w:lang w:eastAsia="fr-FR"/>
        </w:rPr>
        <w:t xml:space="preserve"> Daddah, Immeuble MOUNA, 2ème étage Nouakchott-Mauritanie »</w:t>
      </w:r>
    </w:p>
    <w:p w:rsidR="00947AC9" w:rsidRPr="00947AC9" w:rsidRDefault="00947AC9" w:rsidP="00947AC9">
      <w:pPr>
        <w:shd w:val="clear" w:color="auto" w:fill="FFFFFF"/>
        <w:spacing w:before="100" w:beforeAutospacing="1"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Les offres doivent comprendre une garantie d’un montant quatre-vingt-quatre mille Ouguiyas (84 000 MRU) elle doit être valide pour une durée de 120 jours à compter de la date limite de dépôt des offres. Les offres devront demeurer valides pendant une durée de 90 jours, à compter de la date limite de dépôt des offres.</w:t>
      </w:r>
    </w:p>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                                                                                             </w:t>
      </w:r>
      <w:r w:rsidRPr="00947AC9">
        <w:rPr>
          <w:rFonts w:asciiTheme="majorBidi" w:eastAsia="Times New Roman" w:hAnsiTheme="majorBidi" w:cstheme="majorBidi"/>
          <w:b/>
          <w:bCs/>
          <w:color w:val="040404"/>
          <w:sz w:val="24"/>
          <w:szCs w:val="24"/>
          <w:lang w:eastAsia="fr-FR"/>
        </w:rPr>
        <w:t>Le Coordinateur du PRODEFI</w:t>
      </w:r>
    </w:p>
    <w:p w:rsidR="00947AC9" w:rsidRPr="00947AC9" w:rsidRDefault="00947AC9" w:rsidP="00947AC9">
      <w:pPr>
        <w:shd w:val="clear" w:color="auto" w:fill="FFFFFF"/>
        <w:spacing w:after="100" w:afterAutospacing="1" w:line="240" w:lineRule="auto"/>
        <w:jc w:val="both"/>
        <w:rPr>
          <w:rFonts w:asciiTheme="majorBidi" w:eastAsia="Times New Roman" w:hAnsiTheme="majorBidi" w:cstheme="majorBidi"/>
          <w:color w:val="040404"/>
          <w:sz w:val="24"/>
          <w:szCs w:val="24"/>
          <w:lang w:eastAsia="fr-FR"/>
        </w:rPr>
      </w:pPr>
      <w:r w:rsidRPr="00947AC9">
        <w:rPr>
          <w:rFonts w:asciiTheme="majorBidi" w:eastAsia="Times New Roman" w:hAnsiTheme="majorBidi" w:cstheme="majorBidi"/>
          <w:color w:val="040404"/>
          <w:sz w:val="24"/>
          <w:szCs w:val="24"/>
          <w:lang w:eastAsia="fr-FR"/>
        </w:rPr>
        <w:t>                                                                                           </w:t>
      </w:r>
      <w:r w:rsidRPr="00947AC9">
        <w:rPr>
          <w:rFonts w:asciiTheme="majorBidi" w:eastAsia="Times New Roman" w:hAnsiTheme="majorBidi" w:cstheme="majorBidi"/>
          <w:b/>
          <w:bCs/>
          <w:color w:val="040404"/>
          <w:sz w:val="24"/>
          <w:szCs w:val="24"/>
          <w:lang w:eastAsia="fr-FR"/>
        </w:rPr>
        <w:t>Abdelkader MOHAMED SALECK</w:t>
      </w:r>
    </w:p>
    <w:p w:rsidR="00CB1475" w:rsidRPr="00947AC9" w:rsidRDefault="00CB1475" w:rsidP="00947AC9">
      <w:pPr>
        <w:spacing w:line="240" w:lineRule="auto"/>
        <w:jc w:val="both"/>
        <w:rPr>
          <w:rFonts w:asciiTheme="majorBidi" w:hAnsiTheme="majorBidi" w:cstheme="majorBidi"/>
          <w:sz w:val="24"/>
          <w:szCs w:val="24"/>
          <w:rtl/>
        </w:rPr>
      </w:pPr>
    </w:p>
    <w:sectPr w:rsidR="00CB1475" w:rsidRPr="00947AC9" w:rsidSect="00995C96">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B2D08"/>
    <w:multiLevelType w:val="multilevel"/>
    <w:tmpl w:val="73F64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E641E"/>
    <w:multiLevelType w:val="multilevel"/>
    <w:tmpl w:val="5290B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E5EB8"/>
    <w:multiLevelType w:val="multilevel"/>
    <w:tmpl w:val="0F64D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11D6E"/>
    <w:multiLevelType w:val="multilevel"/>
    <w:tmpl w:val="894493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A28C6"/>
    <w:multiLevelType w:val="multilevel"/>
    <w:tmpl w:val="E27C2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4"/>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7B5CC2"/>
    <w:multiLevelType w:val="multilevel"/>
    <w:tmpl w:val="7AA808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FC21D5"/>
    <w:multiLevelType w:val="multilevel"/>
    <w:tmpl w:val="404E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1C20BD"/>
    <w:multiLevelType w:val="multilevel"/>
    <w:tmpl w:val="5A84DD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7C75E2"/>
    <w:multiLevelType w:val="multilevel"/>
    <w:tmpl w:val="58A66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2D6BC9"/>
    <w:multiLevelType w:val="multilevel"/>
    <w:tmpl w:val="AED6B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C75F09"/>
    <w:multiLevelType w:val="multilevel"/>
    <w:tmpl w:val="5E58B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E86171"/>
    <w:multiLevelType w:val="multilevel"/>
    <w:tmpl w:val="D2EC42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1274A1"/>
    <w:multiLevelType w:val="hybridMultilevel"/>
    <w:tmpl w:val="0C685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1665DE"/>
    <w:multiLevelType w:val="multilevel"/>
    <w:tmpl w:val="6D90A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3"/>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815830"/>
    <w:multiLevelType w:val="multilevel"/>
    <w:tmpl w:val="D160F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10"/>
  </w:num>
  <w:num w:numId="4">
    <w:abstractNumId w:val="1"/>
  </w:num>
  <w:num w:numId="5">
    <w:abstractNumId w:val="2"/>
  </w:num>
  <w:num w:numId="6">
    <w:abstractNumId w:val="14"/>
  </w:num>
  <w:num w:numId="7">
    <w:abstractNumId w:val="8"/>
  </w:num>
  <w:num w:numId="8">
    <w:abstractNumId w:val="3"/>
  </w:num>
  <w:num w:numId="9">
    <w:abstractNumId w:val="11"/>
  </w:num>
  <w:num w:numId="10">
    <w:abstractNumId w:val="0"/>
  </w:num>
  <w:num w:numId="11">
    <w:abstractNumId w:val="9"/>
  </w:num>
  <w:num w:numId="12">
    <w:abstractNumId w:val="13"/>
  </w:num>
  <w:num w:numId="13">
    <w:abstractNumId w:val="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22"/>
    <w:rsid w:val="000123DB"/>
    <w:rsid w:val="000557AD"/>
    <w:rsid w:val="001F6BD1"/>
    <w:rsid w:val="004A6B00"/>
    <w:rsid w:val="00546120"/>
    <w:rsid w:val="00572D5A"/>
    <w:rsid w:val="00656BB6"/>
    <w:rsid w:val="007E6E23"/>
    <w:rsid w:val="008139AB"/>
    <w:rsid w:val="00843A22"/>
    <w:rsid w:val="00947AC9"/>
    <w:rsid w:val="00995C96"/>
    <w:rsid w:val="009E42A9"/>
    <w:rsid w:val="00A30432"/>
    <w:rsid w:val="00AC505F"/>
    <w:rsid w:val="00B44FCF"/>
    <w:rsid w:val="00C931B4"/>
    <w:rsid w:val="00CB1475"/>
    <w:rsid w:val="00CE3A88"/>
    <w:rsid w:val="00D17010"/>
    <w:rsid w:val="00FB29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7837B-23A3-40FC-990D-FB10B371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6B00"/>
    <w:pPr>
      <w:ind w:left="720"/>
      <w:contextualSpacing/>
    </w:pPr>
  </w:style>
  <w:style w:type="paragraph" w:styleId="NormalWeb">
    <w:name w:val="Normal (Web)"/>
    <w:basedOn w:val="Normal"/>
    <w:uiPriority w:val="99"/>
    <w:semiHidden/>
    <w:unhideWhenUsed/>
    <w:rsid w:val="00947A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7AC9"/>
    <w:rPr>
      <w:b/>
      <w:bCs/>
    </w:rPr>
  </w:style>
  <w:style w:type="character" w:styleId="Accentuation">
    <w:name w:val="Emphasis"/>
    <w:basedOn w:val="Policepardfaut"/>
    <w:uiPriority w:val="20"/>
    <w:qFormat/>
    <w:rsid w:val="00947AC9"/>
    <w:rPr>
      <w:i/>
      <w:iCs/>
    </w:rPr>
  </w:style>
  <w:style w:type="character" w:styleId="Lienhypertexte">
    <w:name w:val="Hyperlink"/>
    <w:basedOn w:val="Policepardfaut"/>
    <w:uiPriority w:val="99"/>
    <w:semiHidden/>
    <w:unhideWhenUsed/>
    <w:rsid w:val="00947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p@prodefi.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p@prodefi.m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2022-12-24T22:57:00Z</dcterms:created>
  <dcterms:modified xsi:type="dcterms:W3CDTF">2022-12-24T22:57:00Z</dcterms:modified>
</cp:coreProperties>
</file>