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-1134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bookmarkStart w:id="0" w:name="_GoBack"/>
      <w:bookmarkEnd w:id="0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REPUBLIQUE ISLAMIQUE DE MAURITANIE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La Délégation Générale à la Solidarité Nationale et à la Lutte Contre l’Exclusion « TAAZOUR »</w:t>
      </w:r>
    </w:p>
    <w:p w:rsidR="0079276A" w:rsidRPr="0079276A" w:rsidRDefault="0079276A" w:rsidP="007927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PROJET D’APPUI AU PLAN NATIONAL DE VEILLE ET DE RIPOSTE A LA PANDEMIE COVID-19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Additif n° 1 au DAON n° 01/CPMP/TAAZOUR/APNR_COVID-19/2023 relatif à la fourniture de tracteurs et de motoculteurs avec leurs accessoires pour la mécanisation de l'agriculture pluviale en un seul lot indivisible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right="75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Acquisition de Biens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right="75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Mode de financement : crédit de la Banque Islamique de Développement (</w:t>
      </w:r>
      <w:proofErr w:type="spell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IsDB</w:t>
      </w:r>
      <w:proofErr w:type="spell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)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right="75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N</w:t>
      </w:r>
      <w:r w:rsidRPr="0079276A">
        <w:rPr>
          <w:rFonts w:ascii="Verdana" w:eastAsia="Times New Roman" w:hAnsi="Verdana" w:cs="Segoe UI"/>
          <w:color w:val="040404"/>
          <w:sz w:val="14"/>
          <w:szCs w:val="14"/>
          <w:vertAlign w:val="superscript"/>
          <w:lang w:eastAsia="fr-FR"/>
        </w:rPr>
        <w:t>o</w:t>
      </w: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 du Financement : MRT 1038</w:t>
      </w:r>
    </w:p>
    <w:p w:rsidR="0079276A" w:rsidRPr="0079276A" w:rsidRDefault="0079276A" w:rsidP="00792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 présent additif a pour objet la modification de certaines spécifications techniques des tracteurs et leurs accessoires et la détermination des quantités des pièces de rechanges, comme suit :</w:t>
      </w:r>
    </w:p>
    <w:p w:rsidR="0079276A" w:rsidRPr="0079276A" w:rsidRDefault="0079276A" w:rsidP="00792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Tracteur 75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 avec accessoires et Lots de pièces de rechange</w:t>
      </w:r>
    </w:p>
    <w:p w:rsidR="0079276A" w:rsidRPr="0079276A" w:rsidRDefault="0079276A" w:rsidP="007927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Pièces de rechange demandées </w:t>
      </w: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pour chaque unité de tracteurs 75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:</w:t>
      </w:r>
    </w:p>
    <w:tbl>
      <w:tblPr>
        <w:tblW w:w="1611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8"/>
        <w:gridCol w:w="6862"/>
      </w:tblGrid>
      <w:tr w:rsidR="0079276A" w:rsidRPr="0079276A" w:rsidTr="0079276A">
        <w:trPr>
          <w:trHeight w:val="375"/>
          <w:jc w:val="center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Désignation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Quantité</w:t>
            </w:r>
          </w:p>
        </w:tc>
      </w:tr>
      <w:tr w:rsidR="0079276A" w:rsidRPr="0079276A" w:rsidTr="0079276A">
        <w:trPr>
          <w:trHeight w:val="37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injection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20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hydraulique (direction)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20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hydraulique (relevage)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à eau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amorçage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Jeu de plateau-disque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Cartouche à Huile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Cartouche à Gasoil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Filtre Hydraulique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Filtre à air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Courroie d’alternateur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Boite à fusibles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</w:tbl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72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br/>
      </w:r>
    </w:p>
    <w:p w:rsidR="0079276A" w:rsidRPr="0079276A" w:rsidRDefault="0079276A" w:rsidP="00792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Accessoires demandés</w:t>
      </w: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 pour chaque unité de tracteurs 75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: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1560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Les accessoires ci-après </w:t>
      </w:r>
      <w:proofErr w:type="gram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devrons</w:t>
      </w:r>
      <w:proofErr w:type="gram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 être obligatoirement adaptés à la catégorie de tracteurs (75 </w:t>
      </w:r>
      <w:proofErr w:type="spell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) :</w:t>
      </w:r>
    </w:p>
    <w:p w:rsidR="0079276A" w:rsidRPr="0079276A" w:rsidRDefault="0079276A" w:rsidP="007927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lastRenderedPageBreak/>
        <w:t>Charrue à disque (28 disques) : de 560 mm de diamètre de disque (environ), de 300 mm de largeur de travail (environ), de 140 mm de profondeur de travail (environ) et de 1300 kg de poids (environ) ;</w:t>
      </w:r>
    </w:p>
    <w:p w:rsidR="0079276A" w:rsidRPr="0079276A" w:rsidRDefault="0079276A" w:rsidP="007927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Charrue à soc (3 socs) : de 200 à 300 mm de profondeur de travail, de 105 mm de largeur (environ) et de 320 kg de poids (environ);</w:t>
      </w:r>
    </w:p>
    <w:p w:rsidR="0079276A" w:rsidRPr="0079276A" w:rsidRDefault="0079276A" w:rsidP="007927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Semoir mono -grain ;</w:t>
      </w:r>
    </w:p>
    <w:p w:rsidR="0079276A" w:rsidRPr="0079276A" w:rsidRDefault="0079276A" w:rsidP="007927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Semoir multi-grain ;</w:t>
      </w:r>
    </w:p>
    <w:p w:rsidR="0079276A" w:rsidRPr="0079276A" w:rsidRDefault="0079276A" w:rsidP="007927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Lame tracteur (lame planage) ;</w:t>
      </w:r>
    </w:p>
    <w:p w:rsidR="0079276A" w:rsidRPr="0079276A" w:rsidRDefault="0079276A" w:rsidP="007927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Billonneur.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72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br/>
      </w:r>
    </w:p>
    <w:p w:rsidR="0079276A" w:rsidRPr="0079276A" w:rsidRDefault="0079276A" w:rsidP="007927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Tracteur 90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 avec accessoires et Lots de pièces de rechange</w:t>
      </w:r>
    </w:p>
    <w:p w:rsidR="0079276A" w:rsidRPr="0079276A" w:rsidRDefault="0079276A" w:rsidP="007927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Pièces de rechange demandées</w:t>
      </w: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 pour chaque unité de tracteurs 90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:</w:t>
      </w:r>
    </w:p>
    <w:tbl>
      <w:tblPr>
        <w:tblW w:w="1611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8"/>
        <w:gridCol w:w="6862"/>
      </w:tblGrid>
      <w:tr w:rsidR="0079276A" w:rsidRPr="0079276A" w:rsidTr="0079276A">
        <w:trPr>
          <w:trHeight w:val="375"/>
          <w:jc w:val="center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Désignation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Quantité</w:t>
            </w:r>
          </w:p>
        </w:tc>
      </w:tr>
      <w:tr w:rsidR="0079276A" w:rsidRPr="0079276A" w:rsidTr="0079276A">
        <w:trPr>
          <w:trHeight w:val="37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injection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20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hydraulique (direction)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20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hydraulique (relevage)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à eau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amorçage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Jeu de plateau-disque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Cartouche à Huile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Cartouche à Gasoil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Filtre Hydraulique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Filtre à air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Courroie d’alternateur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Boite à fusibles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</w:tbl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72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br/>
      </w:r>
    </w:p>
    <w:p w:rsidR="0079276A" w:rsidRPr="0079276A" w:rsidRDefault="0079276A" w:rsidP="007927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Accessoires demandés</w:t>
      </w: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 pour chaque unité de tracteurs 90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: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1560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Les accessoires ci-après </w:t>
      </w:r>
      <w:proofErr w:type="gram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devrons</w:t>
      </w:r>
      <w:proofErr w:type="gram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 être obligatoirement adaptés à la catégorie de tracteurs (90 </w:t>
      </w:r>
      <w:proofErr w:type="spell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) :</w:t>
      </w:r>
    </w:p>
    <w:p w:rsidR="0079276A" w:rsidRPr="0079276A" w:rsidRDefault="0079276A" w:rsidP="007927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Charrue à disque (32 disques) : de 560 mm de diamètre de disque (environ), de 340 mm de largeur de travail (environ), de 140 mm de profondeur de travail (environ) et de 1500 kg de poids (environ) ;</w:t>
      </w:r>
    </w:p>
    <w:p w:rsidR="0079276A" w:rsidRPr="0079276A" w:rsidRDefault="0079276A" w:rsidP="007927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Charrue à soc (4 socs) : de 200 à 300 mm de profondeur de travail, de 140 mm de largeur de travail (environ) et de 500 kg de poids (environ) ;</w:t>
      </w:r>
    </w:p>
    <w:p w:rsidR="0079276A" w:rsidRPr="0079276A" w:rsidRDefault="0079276A" w:rsidP="007927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Semoir mono -grain ;</w:t>
      </w:r>
    </w:p>
    <w:p w:rsidR="0079276A" w:rsidRPr="0079276A" w:rsidRDefault="0079276A" w:rsidP="007927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Semoir multi-grain ;</w:t>
      </w:r>
    </w:p>
    <w:p w:rsidR="0079276A" w:rsidRPr="0079276A" w:rsidRDefault="0079276A" w:rsidP="007927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Lame tracteur (lame planage) ;</w:t>
      </w:r>
    </w:p>
    <w:p w:rsidR="0079276A" w:rsidRPr="0079276A" w:rsidRDefault="0079276A" w:rsidP="007927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Billonneur.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lastRenderedPageBreak/>
        <w:br/>
      </w:r>
    </w:p>
    <w:p w:rsidR="0079276A" w:rsidRPr="0079276A" w:rsidRDefault="0079276A" w:rsidP="007927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Tracteur 120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 avec accessoires et Lots de pièces de rechange</w:t>
      </w:r>
    </w:p>
    <w:p w:rsidR="0079276A" w:rsidRPr="0079276A" w:rsidRDefault="0079276A" w:rsidP="007927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 poids minimum </w:t>
      </w:r>
      <w:r w:rsidRPr="0079276A">
        <w:rPr>
          <w:rFonts w:ascii="Verdana" w:eastAsia="Times New Roman" w:hAnsi="Verdana" w:cs="Segoe UI"/>
          <w:color w:val="000000"/>
          <w:sz w:val="18"/>
          <w:szCs w:val="18"/>
          <w:lang w:eastAsia="fr-FR"/>
        </w:rPr>
        <w:t>: &gt; 3 500 kg</w:t>
      </w:r>
    </w:p>
    <w:p w:rsidR="0079276A" w:rsidRPr="0079276A" w:rsidRDefault="0079276A" w:rsidP="007927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Pièces de rechange demandées</w:t>
      </w: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 pour chaque unité de tracteurs 120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 :</w:t>
      </w:r>
    </w:p>
    <w:tbl>
      <w:tblPr>
        <w:tblW w:w="1611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8"/>
        <w:gridCol w:w="6862"/>
      </w:tblGrid>
      <w:tr w:rsidR="0079276A" w:rsidRPr="0079276A" w:rsidTr="0079276A">
        <w:trPr>
          <w:trHeight w:val="375"/>
          <w:jc w:val="center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Désignation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Quantité</w:t>
            </w:r>
          </w:p>
        </w:tc>
      </w:tr>
      <w:tr w:rsidR="0079276A" w:rsidRPr="0079276A" w:rsidTr="0079276A">
        <w:trPr>
          <w:trHeight w:val="37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injection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20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hydraulique (direction)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20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hydraulique (relevage)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à eau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Pompe amorçage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Jeu de plateau-disque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Cartouche à Huile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Cartouche à Gasoil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Filtre Hydraulique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Filtre à air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Courroie d’alternateur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03</w:t>
            </w:r>
          </w:p>
        </w:tc>
      </w:tr>
      <w:tr w:rsidR="0079276A" w:rsidRPr="0079276A" w:rsidTr="0079276A">
        <w:trPr>
          <w:trHeight w:val="405"/>
          <w:jc w:val="center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Boite à fusibles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76A" w:rsidRPr="0079276A" w:rsidRDefault="0079276A" w:rsidP="0079276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79276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01</w:t>
            </w:r>
          </w:p>
        </w:tc>
      </w:tr>
    </w:tbl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72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br/>
      </w:r>
    </w:p>
    <w:p w:rsidR="0079276A" w:rsidRPr="0079276A" w:rsidRDefault="0079276A" w:rsidP="007927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Accessoires demandés</w:t>
      </w:r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 pour chaque unité de tracteurs 120 </w:t>
      </w: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u w:val="single"/>
          <w:lang w:eastAsia="fr-FR"/>
        </w:rPr>
        <w:t xml:space="preserve"> :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1560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Les accessoires ci-après </w:t>
      </w:r>
      <w:proofErr w:type="gram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devrons</w:t>
      </w:r>
      <w:proofErr w:type="gram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 être obligatoirement adaptés à la catégorie de tracteurs (120 </w:t>
      </w:r>
      <w:proofErr w:type="spell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</w:t>
      </w:r>
      <w:proofErr w:type="spell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) :</w:t>
      </w:r>
    </w:p>
    <w:p w:rsidR="0079276A" w:rsidRPr="0079276A" w:rsidRDefault="0079276A" w:rsidP="007927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Charrue à disque (36 disques) : de 560 mm de diamètre de disque (environ), de 400 mm de largeur de travail (environ), de 140 mm de profondeur de travail (environ) et de 170 kg de poids (environ) ;</w:t>
      </w:r>
    </w:p>
    <w:p w:rsidR="0079276A" w:rsidRPr="0079276A" w:rsidRDefault="0079276A" w:rsidP="007927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Charrue à soc (5 socs) :</w:t>
      </w:r>
      <w:proofErr w:type="gramStart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  de</w:t>
      </w:r>
      <w:proofErr w:type="gramEnd"/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 200 à 300 mm de profondeur de travail, 175 mm de largeur de travail (environ) et de 580 kg poids (environ) ;</w:t>
      </w:r>
    </w:p>
    <w:p w:rsidR="0079276A" w:rsidRPr="0079276A" w:rsidRDefault="0079276A" w:rsidP="007927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Semoir mono -grain ;</w:t>
      </w:r>
    </w:p>
    <w:p w:rsidR="0079276A" w:rsidRPr="0079276A" w:rsidRDefault="0079276A" w:rsidP="007927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Semoir multi-grain ;</w:t>
      </w:r>
    </w:p>
    <w:p w:rsidR="0079276A" w:rsidRPr="0079276A" w:rsidRDefault="0079276A" w:rsidP="007927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Lame tracteur (lame planage) ;</w:t>
      </w:r>
    </w:p>
    <w:p w:rsidR="0079276A" w:rsidRPr="0079276A" w:rsidRDefault="0079276A" w:rsidP="007927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Billonneur.</w:t>
      </w:r>
    </w:p>
    <w:p w:rsidR="0079276A" w:rsidRPr="0079276A" w:rsidRDefault="0079276A" w:rsidP="007927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La date limite de dépôt des offres et la date d’ouverture des plis, initialement prévues le Jeudi 23 Mars 2023 à 12 H 00 (TU), sont prorogées au Jeudi 30 Mars 2023 à 12 H 00 (TU).</w:t>
      </w:r>
    </w:p>
    <w:p w:rsidR="0079276A" w:rsidRPr="0079276A" w:rsidRDefault="0079276A" w:rsidP="007927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79276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autres points dudit DAO restent inchangés.</w:t>
      </w:r>
    </w:p>
    <w:p w:rsidR="0079276A" w:rsidRPr="0079276A" w:rsidRDefault="0079276A" w:rsidP="0079276A">
      <w:pPr>
        <w:shd w:val="clear" w:color="auto" w:fill="FFFFFF"/>
        <w:spacing w:after="100" w:afterAutospacing="1" w:line="240" w:lineRule="auto"/>
        <w:ind w:left="5805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proofErr w:type="spellStart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Sadfy</w:t>
      </w:r>
      <w:proofErr w:type="spellEnd"/>
      <w:r w:rsidRPr="0079276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 xml:space="preserve"> Sidi Mohamed</w:t>
      </w:r>
    </w:p>
    <w:p w:rsidR="00390A55" w:rsidRPr="0079276A" w:rsidRDefault="00390A55" w:rsidP="0079276A"/>
    <w:sectPr w:rsidR="00390A55" w:rsidRPr="0079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4B55"/>
    <w:multiLevelType w:val="multilevel"/>
    <w:tmpl w:val="78F49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33E8B"/>
    <w:multiLevelType w:val="multilevel"/>
    <w:tmpl w:val="341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F11A3"/>
    <w:multiLevelType w:val="multilevel"/>
    <w:tmpl w:val="A524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87305"/>
    <w:multiLevelType w:val="multilevel"/>
    <w:tmpl w:val="AE080C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3725314"/>
    <w:multiLevelType w:val="multilevel"/>
    <w:tmpl w:val="E368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45C29"/>
    <w:multiLevelType w:val="multilevel"/>
    <w:tmpl w:val="CCF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97519"/>
    <w:multiLevelType w:val="multilevel"/>
    <w:tmpl w:val="3708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4231C"/>
    <w:multiLevelType w:val="multilevel"/>
    <w:tmpl w:val="4B80C6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B9717CF"/>
    <w:multiLevelType w:val="multilevel"/>
    <w:tmpl w:val="0A2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D2A69"/>
    <w:multiLevelType w:val="multilevel"/>
    <w:tmpl w:val="6C6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11686"/>
    <w:multiLevelType w:val="multilevel"/>
    <w:tmpl w:val="75B2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D2AF5"/>
    <w:multiLevelType w:val="multilevel"/>
    <w:tmpl w:val="6A689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ECA"/>
    <w:multiLevelType w:val="multilevel"/>
    <w:tmpl w:val="34783B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DBF7502"/>
    <w:multiLevelType w:val="multilevel"/>
    <w:tmpl w:val="21A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C7A39"/>
    <w:multiLevelType w:val="multilevel"/>
    <w:tmpl w:val="3FB8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F23B12"/>
    <w:multiLevelType w:val="multilevel"/>
    <w:tmpl w:val="AA002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1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78"/>
    <w:rsid w:val="00022EEF"/>
    <w:rsid w:val="00093A78"/>
    <w:rsid w:val="00390A55"/>
    <w:rsid w:val="003A5A05"/>
    <w:rsid w:val="0042574E"/>
    <w:rsid w:val="007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DF53-CE3B-4A84-B39D-DA407938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4E"/>
    <w:pPr>
      <w:spacing w:after="0" w:line="480" w:lineRule="auto"/>
    </w:pPr>
    <w:rPr>
      <w:rFonts w:asciiTheme="majorBidi" w:hAnsiTheme="majorBidi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2574E"/>
    <w:pPr>
      <w:keepNext/>
      <w:keepLines/>
      <w:tabs>
        <w:tab w:val="left" w:pos="0"/>
      </w:tabs>
      <w:spacing w:before="240" w:line="240" w:lineRule="auto"/>
      <w:ind w:left="432"/>
      <w:outlineLvl w:val="0"/>
    </w:pPr>
    <w:rPr>
      <w:rFonts w:ascii="Garamond" w:eastAsiaTheme="majorEastAsia" w:hAnsi="Garamond" w:cstheme="majorBidi"/>
      <w:b/>
      <w:color w:val="000000" w:themeColor="text1"/>
      <w:sz w:val="4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2574E"/>
    <w:pPr>
      <w:widowControl w:val="0"/>
      <w:tabs>
        <w:tab w:val="left" w:pos="1399"/>
        <w:tab w:val="left" w:pos="1400"/>
      </w:tabs>
      <w:autoSpaceDE w:val="0"/>
      <w:autoSpaceDN w:val="0"/>
      <w:spacing w:before="240" w:line="240" w:lineRule="auto"/>
      <w:ind w:left="567" w:right="1842"/>
      <w:jc w:val="both"/>
      <w:outlineLvl w:val="1"/>
    </w:pPr>
    <w:rPr>
      <w:rFonts w:eastAsiaTheme="majorEastAsia" w:cstheme="majorBidi"/>
      <w:b/>
      <w:bCs/>
      <w:sz w:val="32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2574E"/>
    <w:pPr>
      <w:widowControl w:val="0"/>
      <w:tabs>
        <w:tab w:val="left" w:pos="1760"/>
      </w:tabs>
      <w:autoSpaceDE w:val="0"/>
      <w:autoSpaceDN w:val="0"/>
      <w:spacing w:before="243" w:line="360" w:lineRule="auto"/>
      <w:ind w:right="1842"/>
      <w:jc w:val="both"/>
      <w:outlineLvl w:val="2"/>
    </w:pPr>
    <w:rPr>
      <w:rFonts w:eastAsiaTheme="majorEastAsia" w:cstheme="majorBidi"/>
      <w:b/>
      <w:bCs/>
      <w:sz w:val="28"/>
      <w:szCs w:val="36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2574E"/>
    <w:pPr>
      <w:keepNext/>
      <w:keepLines/>
      <w:spacing w:before="40" w:line="276" w:lineRule="auto"/>
      <w:ind w:left="1440"/>
      <w:outlineLvl w:val="3"/>
    </w:pPr>
    <w:rPr>
      <w:rFonts w:ascii="Garamond" w:eastAsiaTheme="majorEastAsia" w:hAnsi="Garamond" w:cstheme="majorBidi"/>
      <w:b/>
      <w:iCs/>
      <w:color w:val="000000" w:themeColor="text1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2574E"/>
    <w:rPr>
      <w:rFonts w:asciiTheme="majorBidi" w:eastAsiaTheme="majorEastAsia" w:hAnsiTheme="majorBidi" w:cstheme="majorBidi"/>
      <w:b/>
      <w:bCs/>
      <w:sz w:val="28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42574E"/>
    <w:rPr>
      <w:rFonts w:ascii="Garamond" w:eastAsiaTheme="majorEastAsia" w:hAnsi="Garamond" w:cstheme="majorBidi"/>
      <w:b/>
      <w:iCs/>
      <w:color w:val="000000" w:themeColor="text1"/>
      <w:sz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2574E"/>
    <w:rPr>
      <w:rFonts w:ascii="Garamond" w:eastAsiaTheme="majorEastAsia" w:hAnsi="Garamond" w:cstheme="majorBidi"/>
      <w:b/>
      <w:color w:val="000000" w:themeColor="text1"/>
      <w:sz w:val="4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2574E"/>
    <w:rPr>
      <w:rFonts w:asciiTheme="majorBidi" w:eastAsiaTheme="majorEastAsia" w:hAnsiTheme="majorBidi" w:cstheme="majorBidi"/>
      <w:b/>
      <w:bCs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0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2EEF"/>
    <w:rPr>
      <w:i/>
      <w:iCs/>
    </w:rPr>
  </w:style>
  <w:style w:type="character" w:styleId="lev">
    <w:name w:val="Strong"/>
    <w:basedOn w:val="Policepardfaut"/>
    <w:uiPriority w:val="22"/>
    <w:qFormat/>
    <w:rsid w:val="00022EE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A5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2023-03-21T18:06:00Z</dcterms:created>
  <dcterms:modified xsi:type="dcterms:W3CDTF">2023-03-21T18:06:00Z</dcterms:modified>
</cp:coreProperties>
</file>